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67F3" w:rsidRDefault="00E93048">
      <w:pPr>
        <w:spacing w:before="71"/>
        <w:ind w:left="3331"/>
        <w:rPr>
          <w:rFonts w:ascii="Verdana"/>
          <w:sz w:val="16"/>
        </w:rPr>
      </w:pPr>
      <w:r>
        <w:pict>
          <v:shape id="_x0000_s1030" style="position:absolute;left:0;text-align:left;margin-left:176.25pt;margin-top:15.6pt;width:395.25pt;height:.1pt;z-index:-251658240;mso-wrap-distance-left:0;mso-wrap-distance-right:0;mso-position-horizontal-relative:page" coordorigin="3525,312" coordsize="7905,0" path="m3525,312r7905,e" filled="f">
            <v:path arrowok="t"/>
            <w10:wrap type="topAndBottom" anchorx="page"/>
          </v:shape>
        </w:pict>
      </w:r>
      <w:r w:rsidR="007E6E9F">
        <w:rPr>
          <w:rFonts w:ascii="Verdana"/>
          <w:sz w:val="16"/>
        </w:rPr>
        <w:t>Office of Human Resources, Employee Benefits, IH 209 541-962-3087</w:t>
      </w:r>
    </w:p>
    <w:p w:rsidR="009567F3" w:rsidRDefault="009567F3">
      <w:pPr>
        <w:pStyle w:val="BodyText"/>
        <w:spacing w:before="3"/>
        <w:rPr>
          <w:rFonts w:ascii="Verdana"/>
          <w:sz w:val="21"/>
        </w:rPr>
      </w:pPr>
    </w:p>
    <w:p w:rsidR="009567F3" w:rsidRDefault="007E6E9F">
      <w:pPr>
        <w:spacing w:before="45"/>
        <w:ind w:left="4351" w:right="4233"/>
        <w:jc w:val="center"/>
        <w:rPr>
          <w:b/>
          <w:sz w:val="28"/>
        </w:rPr>
      </w:pPr>
      <w:r>
        <w:rPr>
          <w:b/>
          <w:sz w:val="28"/>
        </w:rPr>
        <w:t>Sample Earnings Statement</w:t>
      </w:r>
    </w:p>
    <w:p w:rsidR="009567F3" w:rsidRDefault="00E93048">
      <w:pPr>
        <w:pStyle w:val="BodyText"/>
        <w:spacing w:before="12"/>
        <w:rPr>
          <w:b/>
          <w:sz w:val="20"/>
        </w:rPr>
      </w:pPr>
      <w:r>
        <w:rPr>
          <w:b/>
          <w:noProof/>
          <w:sz w:val="20"/>
        </w:rPr>
        <w:pict>
          <v:shapetype id="_x0000_t32" coordsize="21600,21600" o:spt="32" o:oned="t" path="m,l21600,21600e" filled="f">
            <v:path arrowok="t" fillok="f" o:connecttype="none"/>
            <o:lock v:ext="edit" shapetype="t"/>
          </v:shapetype>
          <v:shape id="_x0000_s1038" type="#_x0000_t32" style="position:absolute;margin-left:470.25pt;margin-top:30.55pt;width:29.25pt;height:15pt;flip:x;z-index:251665408" o:connectortype="straight">
            <v:stroke endarrow="block"/>
          </v:shape>
        </w:pict>
      </w:r>
      <w:r>
        <w:rPr>
          <w:b/>
          <w:noProof/>
          <w:sz w:val="20"/>
        </w:rPr>
        <w:pict>
          <v:shapetype id="_x0000_t202" coordsize="21600,21600" o:spt="202" path="m,l,21600r21600,l21600,xe">
            <v:stroke joinstyle="miter"/>
            <v:path gradientshapeok="t" o:connecttype="rect"/>
          </v:shapetype>
          <v:shape id="_x0000_s1031" type="#_x0000_t202" style="position:absolute;margin-left:117pt;margin-top:14.05pt;width:379.5pt;height:500.25pt;z-index:251659264">
            <v:textbox>
              <w:txbxContent>
                <w:p w:rsidR="002A3AB6" w:rsidRDefault="002A3AB6">
                  <w:r>
                    <w:rPr>
                      <w:noProof/>
                    </w:rPr>
                    <w:drawing>
                      <wp:inline distT="0" distB="0" distL="0" distR="0" wp14:anchorId="38484B04" wp14:editId="5451BFC9">
                        <wp:extent cx="4627245" cy="6315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34276" cy="6324671"/>
                                </a:xfrm>
                                <a:prstGeom prst="rect">
                                  <a:avLst/>
                                </a:prstGeom>
                              </pic:spPr>
                            </pic:pic>
                          </a:graphicData>
                        </a:graphic>
                      </wp:inline>
                    </w:drawing>
                  </w:r>
                </w:p>
              </w:txbxContent>
            </v:textbox>
          </v:shape>
        </w:pict>
      </w:r>
    </w:p>
    <w:p w:rsidR="009567F3" w:rsidRDefault="009567F3">
      <w:pPr>
        <w:rPr>
          <w:sz w:val="20"/>
        </w:rPr>
        <w:sectPr w:rsidR="009567F3">
          <w:headerReference w:type="default" r:id="rId8"/>
          <w:footerReference w:type="default" r:id="rId9"/>
          <w:type w:val="continuous"/>
          <w:pgSz w:w="12240" w:h="15840"/>
          <w:pgMar w:top="1040" w:right="240" w:bottom="940" w:left="180" w:header="720" w:footer="760" w:gutter="0"/>
          <w:pgNumType w:start="1"/>
          <w:cols w:space="720"/>
        </w:sectPr>
      </w:pPr>
    </w:p>
    <w:p w:rsidR="009567F3" w:rsidRDefault="00E93048">
      <w:pPr>
        <w:pStyle w:val="BodyText"/>
        <w:spacing w:before="63"/>
        <w:ind w:left="278" w:right="61"/>
      </w:pPr>
      <w:r>
        <w:rPr>
          <w:noProof/>
        </w:rPr>
        <w:pict>
          <v:shape id="_x0000_s1032" type="#_x0000_t32" style="position:absolute;left:0;text-align:left;margin-left:102.75pt;margin-top:36.5pt;width:30pt;height:.75pt;flip:y;z-index:251660288" o:connectortype="straight">
            <v:stroke endarrow="block"/>
          </v:shape>
        </w:pict>
      </w:r>
      <w:r w:rsidR="007E6E9F">
        <w:t>This section identifies the pay period (month and year), employee ID, tax status from the</w:t>
      </w:r>
    </w:p>
    <w:p w:rsidR="009567F3" w:rsidRDefault="007E6E9F">
      <w:pPr>
        <w:pStyle w:val="BodyText"/>
        <w:ind w:left="278" w:right="18"/>
      </w:pPr>
      <w:r>
        <w:t xml:space="preserve">employee’s W-4, and </w:t>
      </w:r>
      <w:r w:rsidR="005902E4">
        <w:t>year-to-date</w:t>
      </w:r>
      <w:r>
        <w:t xml:space="preserve"> subject tax. It also displays additional tax withholdings, if any.</w:t>
      </w:r>
    </w:p>
    <w:p w:rsidR="009567F3" w:rsidRDefault="009567F3">
      <w:pPr>
        <w:pStyle w:val="BodyText"/>
      </w:pPr>
    </w:p>
    <w:p w:rsidR="009567F3" w:rsidRDefault="009567F3">
      <w:pPr>
        <w:pStyle w:val="BodyText"/>
        <w:spacing w:before="4"/>
        <w:rPr>
          <w:sz w:val="17"/>
        </w:rPr>
      </w:pPr>
    </w:p>
    <w:p w:rsidR="009567F3" w:rsidRDefault="00E93048">
      <w:pPr>
        <w:pStyle w:val="BodyText"/>
        <w:ind w:left="249" w:right="79"/>
      </w:pPr>
      <w:r>
        <w:rPr>
          <w:noProof/>
        </w:rPr>
        <w:pict>
          <v:shape id="_x0000_s1033" type="#_x0000_t32" style="position:absolute;left:0;text-align:left;margin-left:110.25pt;margin-top:1.15pt;width:70.5pt;height:12.75pt;flip:y;z-index:251661312" o:connectortype="straight">
            <v:stroke endarrow="block"/>
          </v:shape>
        </w:pict>
      </w:r>
      <w:r w:rsidR="007E6E9F">
        <w:t>This section identifies the employee with their check delivery department code and mailing address.</w:t>
      </w:r>
    </w:p>
    <w:p w:rsidR="009567F3" w:rsidRDefault="009567F3">
      <w:pPr>
        <w:pStyle w:val="BodyText"/>
      </w:pPr>
    </w:p>
    <w:p w:rsidR="009567F3" w:rsidRDefault="00E93048">
      <w:pPr>
        <w:pStyle w:val="BodyText"/>
        <w:spacing w:before="122"/>
        <w:ind w:left="249" w:right="74"/>
      </w:pPr>
      <w:r>
        <w:rPr>
          <w:noProof/>
        </w:rPr>
        <w:pict>
          <v:shape id="_x0000_s1034" type="#_x0000_t32" style="position:absolute;left:0;text-align:left;margin-left:105pt;margin-top:8.7pt;width:24pt;height:0;z-index:251662336" o:connectortype="straight">
            <v:stroke endarrow="block"/>
          </v:shape>
        </w:pict>
      </w:r>
      <w:r w:rsidR="007E6E9F">
        <w:t>The Earnings section identifies earnings for the pay period.</w:t>
      </w:r>
    </w:p>
    <w:p w:rsidR="009567F3" w:rsidRDefault="009567F3">
      <w:pPr>
        <w:pStyle w:val="BodyText"/>
      </w:pPr>
    </w:p>
    <w:p w:rsidR="009567F3" w:rsidRDefault="009567F3">
      <w:pPr>
        <w:pStyle w:val="BodyText"/>
      </w:pPr>
    </w:p>
    <w:p w:rsidR="009567F3" w:rsidRDefault="009567F3">
      <w:pPr>
        <w:pStyle w:val="BodyText"/>
      </w:pPr>
    </w:p>
    <w:p w:rsidR="009567F3" w:rsidRDefault="009567F3">
      <w:pPr>
        <w:pStyle w:val="BodyText"/>
      </w:pPr>
    </w:p>
    <w:p w:rsidR="009567F3" w:rsidRDefault="009567F3">
      <w:pPr>
        <w:pStyle w:val="BodyText"/>
      </w:pPr>
    </w:p>
    <w:p w:rsidR="009567F3" w:rsidRDefault="00E93048">
      <w:pPr>
        <w:pStyle w:val="BodyText"/>
        <w:spacing w:before="148"/>
        <w:ind w:left="112" w:right="373"/>
      </w:pPr>
      <w:r>
        <w:rPr>
          <w:noProof/>
        </w:rPr>
        <w:pict>
          <v:shape id="_x0000_s1036" type="#_x0000_t32" style="position:absolute;left:0;text-align:left;margin-left:96.75pt;margin-top:8.5pt;width:32.25pt;height:4.5pt;flip:y;z-index:251663360" o:connectortype="straight">
            <v:stroke endarrow="block"/>
          </v:shape>
        </w:pict>
      </w:r>
      <w:r w:rsidR="007E6E9F">
        <w:t>The Deductions section identifies deductions from the earnings; employer contributions for health and pension programs; applicable gross; and year-to-date amounts.</w:t>
      </w:r>
    </w:p>
    <w:p w:rsidR="009567F3" w:rsidRDefault="009567F3">
      <w:pPr>
        <w:pStyle w:val="BodyText"/>
      </w:pPr>
    </w:p>
    <w:p w:rsidR="009567F3" w:rsidRDefault="009567F3">
      <w:pPr>
        <w:pStyle w:val="BodyText"/>
      </w:pPr>
    </w:p>
    <w:p w:rsidR="009567F3" w:rsidRDefault="009567F3">
      <w:pPr>
        <w:pStyle w:val="BodyText"/>
      </w:pPr>
    </w:p>
    <w:p w:rsidR="009567F3" w:rsidRDefault="009567F3">
      <w:pPr>
        <w:pStyle w:val="BodyText"/>
        <w:spacing w:before="9"/>
        <w:rPr>
          <w:sz w:val="15"/>
        </w:rPr>
      </w:pPr>
    </w:p>
    <w:p w:rsidR="009567F3" w:rsidRDefault="00E93048">
      <w:pPr>
        <w:pStyle w:val="BodyText"/>
        <w:ind w:left="232" w:right="146"/>
        <w:jc w:val="both"/>
      </w:pPr>
      <w:r>
        <w:rPr>
          <w:noProof/>
        </w:rPr>
        <w:pict>
          <v:shape id="_x0000_s1037" type="#_x0000_t32" style="position:absolute;left:0;text-align:left;margin-left:105.75pt;margin-top:6.4pt;width:28.5pt;height:53.25pt;z-index:251664384" o:connectortype="straight">
            <v:stroke endarrow="block"/>
          </v:shape>
        </w:pict>
      </w:r>
      <w:r w:rsidR="007E6E9F">
        <w:t>Additional comments are located at the bottom of the statement.</w:t>
      </w:r>
    </w:p>
    <w:p w:rsidR="009567F3" w:rsidRDefault="007E6E9F">
      <w:pPr>
        <w:pStyle w:val="BodyText"/>
        <w:spacing w:before="109"/>
        <w:ind w:left="112" w:right="96"/>
      </w:pPr>
      <w:r>
        <w:br w:type="column"/>
      </w:r>
      <w:r>
        <w:t xml:space="preserve">This section </w:t>
      </w:r>
      <w:r w:rsidR="005902E4">
        <w:t>summarizes</w:t>
      </w:r>
      <w:r>
        <w:t xml:space="preserve"> the gross earnings, deductions, and net pay for the current month and year to date.</w:t>
      </w:r>
    </w:p>
    <w:p w:rsidR="009567F3" w:rsidRDefault="009567F3">
      <w:pPr>
        <w:pStyle w:val="BodyText"/>
      </w:pPr>
    </w:p>
    <w:p w:rsidR="009567F3" w:rsidRDefault="00E93048">
      <w:pPr>
        <w:pStyle w:val="BodyText"/>
        <w:spacing w:before="1"/>
        <w:rPr>
          <w:sz w:val="20"/>
        </w:rPr>
      </w:pPr>
      <w:r>
        <w:rPr>
          <w:noProof/>
          <w:sz w:val="20"/>
        </w:rPr>
        <w:pict>
          <v:shape id="_x0000_s1039" type="#_x0000_t32" style="position:absolute;margin-left:-21.15pt;margin-top:15.65pt;width:27pt;height:11.25pt;flip:x;z-index:251666432" o:connectortype="straight">
            <v:stroke endarrow="block"/>
          </v:shape>
        </w:pict>
      </w:r>
    </w:p>
    <w:p w:rsidR="009567F3" w:rsidRDefault="007E6E9F">
      <w:pPr>
        <w:pStyle w:val="BodyText"/>
        <w:ind w:left="170" w:right="140"/>
      </w:pPr>
      <w:r>
        <w:t>The Net Pay Distribution section indicates the net pay distributed by direct deposit account number and amount.</w:t>
      </w:r>
    </w:p>
    <w:p w:rsidR="009567F3" w:rsidRDefault="00E93048">
      <w:pPr>
        <w:pStyle w:val="BodyText"/>
      </w:pPr>
      <w:r>
        <w:rPr>
          <w:noProof/>
        </w:rPr>
        <w:pict>
          <v:shape id="_x0000_s1040" type="#_x0000_t32" style="position:absolute;margin-left:-10.65pt;margin-top:8.7pt;width:17.25pt;height:26.25pt;flip:x y;z-index:251667456" o:connectortype="straight">
            <v:stroke endarrow="block"/>
          </v:shape>
        </w:pict>
      </w:r>
    </w:p>
    <w:p w:rsidR="009567F3" w:rsidRDefault="009567F3">
      <w:pPr>
        <w:pStyle w:val="BodyText"/>
      </w:pPr>
    </w:p>
    <w:p w:rsidR="009567F3" w:rsidRDefault="007E6E9F">
      <w:pPr>
        <w:pStyle w:val="BodyText"/>
        <w:spacing w:before="148"/>
        <w:ind w:left="170" w:right="119"/>
      </w:pPr>
      <w:r>
        <w:t>The Leave section displays leave taken on the last timesheet submitted</w:t>
      </w:r>
      <w:r w:rsidR="005902E4">
        <w:t>,</w:t>
      </w:r>
      <w:r>
        <w:t xml:space="preserve"> leave accrual for the current pay period month</w:t>
      </w:r>
      <w:r w:rsidR="005902E4">
        <w:t>,</w:t>
      </w:r>
      <w:r>
        <w:t xml:space="preserve"> and balances. Balances do not reflect leave taken that has not yet been submitted by </w:t>
      </w:r>
      <w:r w:rsidR="005902E4">
        <w:t xml:space="preserve">the </w:t>
      </w:r>
      <w:r>
        <w:t>timesheet.</w:t>
      </w:r>
    </w:p>
    <w:p w:rsidR="009567F3" w:rsidRDefault="009567F3">
      <w:pPr>
        <w:sectPr w:rsidR="009567F3">
          <w:type w:val="continuous"/>
          <w:pgSz w:w="12240" w:h="15840"/>
          <w:pgMar w:top="1040" w:right="240" w:bottom="940" w:left="180" w:header="720" w:footer="720" w:gutter="0"/>
          <w:cols w:num="2" w:space="720" w:equalWidth="0">
            <w:col w:w="2225" w:space="7708"/>
            <w:col w:w="1887"/>
          </w:cols>
        </w:sectPr>
      </w:pPr>
    </w:p>
    <w:p w:rsidR="009567F3" w:rsidRDefault="009567F3">
      <w:pPr>
        <w:pStyle w:val="BodyText"/>
        <w:rPr>
          <w:sz w:val="20"/>
        </w:rPr>
      </w:pPr>
    </w:p>
    <w:p w:rsidR="009567F3" w:rsidRDefault="009567F3">
      <w:pPr>
        <w:pStyle w:val="BodyText"/>
        <w:rPr>
          <w:sz w:val="20"/>
        </w:rPr>
      </w:pPr>
    </w:p>
    <w:p w:rsidR="009567F3" w:rsidRDefault="009567F3">
      <w:pPr>
        <w:pStyle w:val="BodyText"/>
        <w:rPr>
          <w:sz w:val="20"/>
        </w:rPr>
      </w:pPr>
    </w:p>
    <w:p w:rsidR="009567F3" w:rsidRDefault="009567F3">
      <w:pPr>
        <w:pStyle w:val="BodyText"/>
        <w:spacing w:before="7"/>
        <w:rPr>
          <w:sz w:val="21"/>
        </w:rPr>
      </w:pPr>
    </w:p>
    <w:p w:rsidR="009567F3" w:rsidRDefault="007E6E9F">
      <w:pPr>
        <w:pStyle w:val="BodyText"/>
        <w:spacing w:before="64" w:line="219" w:lineRule="exact"/>
        <w:ind w:left="638"/>
      </w:pPr>
      <w:r>
        <w:rPr>
          <w:u w:val="single"/>
        </w:rPr>
        <w:t>Deductions Section:</w:t>
      </w:r>
    </w:p>
    <w:p w:rsidR="009567F3" w:rsidRDefault="007E6E9F">
      <w:pPr>
        <w:pStyle w:val="BodyText"/>
        <w:ind w:left="638" w:right="559"/>
      </w:pPr>
      <w:r>
        <w:t>Deductions and/or credits in the column titled “Employee” are used to calculate the net pay of the employee. The “Employer” column reflects charges to the department, such as pension contributions paid by the University for the employee or other payroll expenses, such as department aggregate charges for benefits.</w:t>
      </w:r>
    </w:p>
    <w:p w:rsidR="009567F3" w:rsidRDefault="009567F3">
      <w:pPr>
        <w:pStyle w:val="BodyText"/>
        <w:spacing w:before="11"/>
        <w:rPr>
          <w:sz w:val="17"/>
        </w:rPr>
      </w:pPr>
    </w:p>
    <w:p w:rsidR="009567F3" w:rsidRDefault="007E6E9F">
      <w:pPr>
        <w:pStyle w:val="BodyText"/>
        <w:ind w:left="638"/>
      </w:pPr>
      <w:r>
        <w:t>Both mandatory and voluntary deductions may be withheld from an employee’s paycheck. Mandatory deductions are required by law and</w:t>
      </w:r>
    </w:p>
    <w:p w:rsidR="009567F3" w:rsidRDefault="007E6E9F">
      <w:pPr>
        <w:pStyle w:val="BodyText"/>
        <w:ind w:left="638" w:right="709"/>
      </w:pPr>
      <w:r>
        <w:t>include State and Federal income tax, Social Security and Medicare, and Workers’ Compensation Insurance. The 5% or 3% employee premium share amount for the CORE benefit package (Medical, vision, dental, and employee basic life insurance) is also deducted from an employee’s paycheck. Voluntary deductions include benefits package deductions (i.e., optional employee life insurance, short-term disability, FSA contributions, etc.), voluntary retirement savings – TDI program, and other deductions authorized by the employee (i.e., Charitable Fund Drive, parking permits, etc.).</w:t>
      </w:r>
    </w:p>
    <w:p w:rsidR="009567F3" w:rsidRDefault="009567F3">
      <w:pPr>
        <w:sectPr w:rsidR="009567F3">
          <w:type w:val="continuous"/>
          <w:pgSz w:w="12240" w:h="15840"/>
          <w:pgMar w:top="1040" w:right="240" w:bottom="940" w:left="180" w:header="720" w:footer="720" w:gutter="0"/>
          <w:cols w:space="720"/>
        </w:sectPr>
      </w:pPr>
    </w:p>
    <w:p w:rsidR="00E173A1" w:rsidRDefault="00E93048">
      <w:pPr>
        <w:pStyle w:val="Heading1"/>
      </w:pPr>
      <w:r>
        <w:rPr>
          <w:noProof/>
        </w:rPr>
        <w:lastRenderedPageBreak/>
        <w:pict>
          <v:shape id="_x0000_s1041" type="#_x0000_t202" style="position:absolute;left:0;text-align:left;margin-left:177.75pt;margin-top:-18.25pt;width:366.75pt;height:17.25pt;z-index:251668480" stroked="f">
            <v:textbox>
              <w:txbxContent>
                <w:p w:rsidR="00835D47" w:rsidRDefault="00835D47">
                  <w:r>
                    <w:rPr>
                      <w:rFonts w:ascii="Verdana"/>
                      <w:sz w:val="16"/>
                    </w:rPr>
                    <w:t>Office of Human Resources, Employee Benefits, IH 209 541-962-3087</w:t>
                  </w:r>
                </w:p>
              </w:txbxContent>
            </v:textbox>
          </v:shape>
        </w:pict>
      </w:r>
    </w:p>
    <w:p w:rsidR="009567F3" w:rsidRDefault="007E6E9F">
      <w:pPr>
        <w:pStyle w:val="Heading1"/>
        <w:rPr>
          <w:u w:val="none"/>
        </w:rPr>
      </w:pPr>
      <w:r>
        <w:t>Employee CORE Health Insurance Benefits</w:t>
      </w:r>
    </w:p>
    <w:p w:rsidR="009567F3" w:rsidRDefault="009567F3">
      <w:pPr>
        <w:pStyle w:val="BodyText"/>
        <w:spacing w:before="10"/>
        <w:rPr>
          <w:b/>
          <w:sz w:val="12"/>
        </w:rPr>
      </w:pPr>
    </w:p>
    <w:p w:rsidR="009567F3" w:rsidRDefault="007E6E9F">
      <w:pPr>
        <w:pStyle w:val="BodyText"/>
        <w:spacing w:before="63"/>
        <w:ind w:left="540" w:right="559"/>
      </w:pPr>
      <w:r>
        <w:t>A benefit eligible position is one that is at least .50 FTE and is at least 90 days in length and qualified under PEBB rules. The employer contribution towards the CORE benefit package for full-time classified employees is between 95% and 97%</w:t>
      </w:r>
      <w:r w:rsidR="00A817EA">
        <w:t>. Part</w:t>
      </w:r>
      <w:r>
        <w:t>-time classified employees receive a pro-rated employer contribution towards their benefit package. The CORE benefit package includes the following plans/deductions codes:</w:t>
      </w:r>
    </w:p>
    <w:p w:rsidR="009567F3" w:rsidRDefault="009567F3">
      <w:pPr>
        <w:pStyle w:val="BodyText"/>
        <w:rPr>
          <w:sz w:val="20"/>
        </w:rPr>
      </w:pPr>
    </w:p>
    <w:p w:rsidR="009567F3" w:rsidRDefault="009567F3">
      <w:pPr>
        <w:pStyle w:val="BodyText"/>
        <w:spacing w:before="11" w:after="1"/>
        <w:rPr>
          <w:sz w:val="15"/>
        </w:rPr>
      </w:pPr>
    </w:p>
    <w:tbl>
      <w:tblPr>
        <w:tblW w:w="0" w:type="auto"/>
        <w:tblInd w:w="1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8"/>
        <w:gridCol w:w="2093"/>
      </w:tblGrid>
      <w:tr w:rsidR="009567F3">
        <w:trPr>
          <w:trHeight w:val="220"/>
        </w:trPr>
        <w:tc>
          <w:tcPr>
            <w:tcW w:w="6008" w:type="dxa"/>
            <w:shd w:val="clear" w:color="auto" w:fill="D9D9D9"/>
          </w:tcPr>
          <w:p w:rsidR="009567F3" w:rsidRDefault="007E6E9F">
            <w:pPr>
              <w:pStyle w:val="TableParagraph"/>
              <w:spacing w:before="1"/>
              <w:ind w:left="2709" w:right="2706"/>
              <w:jc w:val="center"/>
              <w:rPr>
                <w:b/>
                <w:sz w:val="18"/>
              </w:rPr>
            </w:pPr>
            <w:r>
              <w:rPr>
                <w:b/>
                <w:sz w:val="18"/>
              </w:rPr>
              <w:t>Benefit</w:t>
            </w:r>
          </w:p>
        </w:tc>
        <w:tc>
          <w:tcPr>
            <w:tcW w:w="2093" w:type="dxa"/>
            <w:shd w:val="clear" w:color="auto" w:fill="D9D9D9"/>
          </w:tcPr>
          <w:p w:rsidR="009567F3" w:rsidRDefault="007E6E9F">
            <w:pPr>
              <w:pStyle w:val="TableParagraph"/>
              <w:spacing w:before="1"/>
              <w:ind w:left="405"/>
              <w:rPr>
                <w:b/>
                <w:sz w:val="18"/>
              </w:rPr>
            </w:pPr>
            <w:r>
              <w:rPr>
                <w:b/>
                <w:sz w:val="18"/>
              </w:rPr>
              <w:t>Deduction Code*</w:t>
            </w:r>
          </w:p>
        </w:tc>
      </w:tr>
      <w:tr w:rsidR="009567F3">
        <w:trPr>
          <w:trHeight w:val="220"/>
        </w:trPr>
        <w:tc>
          <w:tcPr>
            <w:tcW w:w="6008" w:type="dxa"/>
          </w:tcPr>
          <w:p w:rsidR="009567F3" w:rsidRDefault="007E6E9F">
            <w:pPr>
              <w:pStyle w:val="TableParagraph"/>
              <w:spacing w:before="1"/>
              <w:ind w:left="105"/>
              <w:rPr>
                <w:sz w:val="18"/>
              </w:rPr>
            </w:pPr>
            <w:r>
              <w:rPr>
                <w:sz w:val="18"/>
              </w:rPr>
              <w:t>Employee basic life insurance</w:t>
            </w:r>
          </w:p>
        </w:tc>
        <w:tc>
          <w:tcPr>
            <w:tcW w:w="2093" w:type="dxa"/>
          </w:tcPr>
          <w:p w:rsidR="009567F3" w:rsidRDefault="007E6E9F">
            <w:pPr>
              <w:pStyle w:val="TableParagraph"/>
              <w:spacing w:before="1"/>
              <w:rPr>
                <w:sz w:val="18"/>
              </w:rPr>
            </w:pPr>
            <w:r>
              <w:rPr>
                <w:sz w:val="18"/>
              </w:rPr>
              <w:t>CL1</w:t>
            </w:r>
          </w:p>
        </w:tc>
      </w:tr>
      <w:tr w:rsidR="009567F3">
        <w:trPr>
          <w:trHeight w:val="220"/>
        </w:trPr>
        <w:tc>
          <w:tcPr>
            <w:tcW w:w="6008" w:type="dxa"/>
          </w:tcPr>
          <w:p w:rsidR="009567F3" w:rsidRDefault="007E6E9F">
            <w:pPr>
              <w:pStyle w:val="TableParagraph"/>
              <w:spacing w:before="1"/>
              <w:ind w:left="105"/>
              <w:rPr>
                <w:sz w:val="18"/>
              </w:rPr>
            </w:pPr>
            <w:r>
              <w:rPr>
                <w:sz w:val="18"/>
              </w:rPr>
              <w:t>Dental Insurance</w:t>
            </w:r>
          </w:p>
        </w:tc>
        <w:tc>
          <w:tcPr>
            <w:tcW w:w="2093" w:type="dxa"/>
          </w:tcPr>
          <w:p w:rsidR="009567F3" w:rsidRDefault="007E6E9F">
            <w:pPr>
              <w:pStyle w:val="TableParagraph"/>
              <w:spacing w:before="1"/>
              <w:rPr>
                <w:sz w:val="18"/>
              </w:rPr>
            </w:pPr>
            <w:r>
              <w:rPr>
                <w:sz w:val="18"/>
              </w:rPr>
              <w:t>PD*</w:t>
            </w:r>
          </w:p>
        </w:tc>
      </w:tr>
      <w:tr w:rsidR="009567F3">
        <w:trPr>
          <w:trHeight w:val="217"/>
        </w:trPr>
        <w:tc>
          <w:tcPr>
            <w:tcW w:w="6008" w:type="dxa"/>
          </w:tcPr>
          <w:p w:rsidR="009567F3" w:rsidRDefault="007E6E9F">
            <w:pPr>
              <w:pStyle w:val="TableParagraph"/>
              <w:spacing w:line="198" w:lineRule="exact"/>
              <w:ind w:left="105"/>
              <w:rPr>
                <w:sz w:val="18"/>
              </w:rPr>
            </w:pPr>
            <w:r>
              <w:rPr>
                <w:sz w:val="18"/>
              </w:rPr>
              <w:t>Medical insurance</w:t>
            </w:r>
          </w:p>
        </w:tc>
        <w:tc>
          <w:tcPr>
            <w:tcW w:w="2093" w:type="dxa"/>
          </w:tcPr>
          <w:p w:rsidR="009567F3" w:rsidRDefault="007E6E9F">
            <w:pPr>
              <w:pStyle w:val="TableParagraph"/>
              <w:spacing w:line="198" w:lineRule="exact"/>
              <w:rPr>
                <w:sz w:val="18"/>
              </w:rPr>
            </w:pPr>
            <w:r>
              <w:rPr>
                <w:sz w:val="18"/>
              </w:rPr>
              <w:t>PM*</w:t>
            </w:r>
          </w:p>
        </w:tc>
      </w:tr>
      <w:tr w:rsidR="009567F3">
        <w:trPr>
          <w:trHeight w:val="220"/>
        </w:trPr>
        <w:tc>
          <w:tcPr>
            <w:tcW w:w="6008" w:type="dxa"/>
          </w:tcPr>
          <w:p w:rsidR="009567F3" w:rsidRDefault="007E6E9F">
            <w:pPr>
              <w:pStyle w:val="TableParagraph"/>
              <w:spacing w:before="1"/>
              <w:ind w:left="105"/>
              <w:rPr>
                <w:sz w:val="16"/>
              </w:rPr>
            </w:pPr>
            <w:r>
              <w:rPr>
                <w:sz w:val="18"/>
              </w:rPr>
              <w:t xml:space="preserve">VSP Basic Vision </w:t>
            </w:r>
            <w:r>
              <w:rPr>
                <w:sz w:val="16"/>
              </w:rPr>
              <w:t>(Full time Kaiser medical enrollment excluded from coverage)</w:t>
            </w:r>
          </w:p>
        </w:tc>
        <w:tc>
          <w:tcPr>
            <w:tcW w:w="2093" w:type="dxa"/>
          </w:tcPr>
          <w:p w:rsidR="009567F3" w:rsidRDefault="007E6E9F">
            <w:pPr>
              <w:pStyle w:val="TableParagraph"/>
              <w:spacing w:before="1"/>
              <w:rPr>
                <w:sz w:val="18"/>
              </w:rPr>
            </w:pPr>
            <w:r>
              <w:rPr>
                <w:sz w:val="18"/>
              </w:rPr>
              <w:t>PVP</w:t>
            </w:r>
          </w:p>
        </w:tc>
      </w:tr>
      <w:tr w:rsidR="009567F3">
        <w:trPr>
          <w:trHeight w:val="220"/>
        </w:trPr>
        <w:tc>
          <w:tcPr>
            <w:tcW w:w="6008" w:type="dxa"/>
          </w:tcPr>
          <w:p w:rsidR="009567F3" w:rsidRDefault="007E6E9F">
            <w:pPr>
              <w:pStyle w:val="TableParagraph"/>
              <w:spacing w:before="1"/>
              <w:ind w:left="105"/>
              <w:rPr>
                <w:sz w:val="18"/>
              </w:rPr>
            </w:pPr>
            <w:r>
              <w:rPr>
                <w:sz w:val="18"/>
              </w:rPr>
              <w:t>PEBB Employee Share Pre-tax**</w:t>
            </w:r>
          </w:p>
        </w:tc>
        <w:tc>
          <w:tcPr>
            <w:tcW w:w="2093" w:type="dxa"/>
          </w:tcPr>
          <w:p w:rsidR="009567F3" w:rsidRDefault="007E6E9F">
            <w:pPr>
              <w:pStyle w:val="TableParagraph"/>
              <w:spacing w:before="1"/>
              <w:rPr>
                <w:sz w:val="18"/>
              </w:rPr>
            </w:pPr>
            <w:r>
              <w:rPr>
                <w:sz w:val="18"/>
              </w:rPr>
              <w:t>P5P or P3P</w:t>
            </w:r>
          </w:p>
        </w:tc>
      </w:tr>
      <w:tr w:rsidR="009567F3">
        <w:trPr>
          <w:trHeight w:val="217"/>
        </w:trPr>
        <w:tc>
          <w:tcPr>
            <w:tcW w:w="6008" w:type="dxa"/>
          </w:tcPr>
          <w:p w:rsidR="009567F3" w:rsidRPr="00E173A1" w:rsidRDefault="007E6E9F">
            <w:pPr>
              <w:pStyle w:val="TableParagraph"/>
              <w:spacing w:line="198" w:lineRule="exact"/>
              <w:ind w:left="105"/>
              <w:rPr>
                <w:sz w:val="18"/>
                <w:highlight w:val="yellow"/>
              </w:rPr>
            </w:pPr>
            <w:r w:rsidRPr="00E173A1">
              <w:rPr>
                <w:sz w:val="18"/>
                <w:highlight w:val="yellow"/>
              </w:rPr>
              <w:t>Employer Contribution***</w:t>
            </w:r>
          </w:p>
        </w:tc>
        <w:tc>
          <w:tcPr>
            <w:tcW w:w="2093" w:type="dxa"/>
          </w:tcPr>
          <w:p w:rsidR="009567F3" w:rsidRPr="00E173A1" w:rsidRDefault="007E6E9F">
            <w:pPr>
              <w:pStyle w:val="TableParagraph"/>
              <w:spacing w:line="198" w:lineRule="exact"/>
              <w:rPr>
                <w:sz w:val="18"/>
                <w:highlight w:val="yellow"/>
              </w:rPr>
            </w:pPr>
            <w:r w:rsidRPr="00E173A1">
              <w:rPr>
                <w:sz w:val="18"/>
                <w:highlight w:val="yellow"/>
              </w:rPr>
              <w:t>PSA</w:t>
            </w:r>
          </w:p>
        </w:tc>
      </w:tr>
      <w:tr w:rsidR="009567F3">
        <w:trPr>
          <w:trHeight w:val="220"/>
        </w:trPr>
        <w:tc>
          <w:tcPr>
            <w:tcW w:w="6008" w:type="dxa"/>
          </w:tcPr>
          <w:p w:rsidR="009567F3" w:rsidRDefault="007E6E9F">
            <w:pPr>
              <w:pStyle w:val="TableParagraph"/>
              <w:spacing w:before="1" w:line="200" w:lineRule="exact"/>
              <w:ind w:left="105"/>
              <w:rPr>
                <w:sz w:val="18"/>
              </w:rPr>
            </w:pPr>
            <w:r>
              <w:rPr>
                <w:sz w:val="18"/>
              </w:rPr>
              <w:t>PEBB, HEM Incentive****</w:t>
            </w:r>
          </w:p>
        </w:tc>
        <w:tc>
          <w:tcPr>
            <w:tcW w:w="2093" w:type="dxa"/>
          </w:tcPr>
          <w:p w:rsidR="009567F3" w:rsidRDefault="007E6E9F">
            <w:pPr>
              <w:pStyle w:val="TableParagraph"/>
              <w:spacing w:before="1" w:line="200" w:lineRule="exact"/>
              <w:rPr>
                <w:sz w:val="18"/>
              </w:rPr>
            </w:pPr>
            <w:r>
              <w:rPr>
                <w:sz w:val="18"/>
              </w:rPr>
              <w:t>PIH</w:t>
            </w:r>
          </w:p>
        </w:tc>
      </w:tr>
      <w:tr w:rsidR="009567F3">
        <w:trPr>
          <w:trHeight w:val="220"/>
        </w:trPr>
        <w:tc>
          <w:tcPr>
            <w:tcW w:w="6008" w:type="dxa"/>
          </w:tcPr>
          <w:p w:rsidR="009567F3" w:rsidRDefault="007E6E9F">
            <w:pPr>
              <w:pStyle w:val="TableParagraph"/>
              <w:spacing w:before="1"/>
              <w:ind w:left="105"/>
              <w:rPr>
                <w:sz w:val="16"/>
              </w:rPr>
            </w:pPr>
            <w:r>
              <w:rPr>
                <w:sz w:val="18"/>
              </w:rPr>
              <w:t xml:space="preserve">VSP Plus Plan Pre-tax </w:t>
            </w:r>
            <w:r>
              <w:rPr>
                <w:sz w:val="16"/>
              </w:rPr>
              <w:t>(Full time Kaiser medical enrollment excluded from coverage)</w:t>
            </w:r>
          </w:p>
        </w:tc>
        <w:tc>
          <w:tcPr>
            <w:tcW w:w="2093" w:type="dxa"/>
          </w:tcPr>
          <w:p w:rsidR="009567F3" w:rsidRDefault="007E6E9F">
            <w:pPr>
              <w:pStyle w:val="TableParagraph"/>
              <w:spacing w:before="1"/>
              <w:rPr>
                <w:sz w:val="16"/>
              </w:rPr>
            </w:pPr>
            <w:r>
              <w:rPr>
                <w:sz w:val="18"/>
              </w:rPr>
              <w:t xml:space="preserve">PVU </w:t>
            </w:r>
            <w:r>
              <w:rPr>
                <w:sz w:val="16"/>
              </w:rPr>
              <w:t>(not a core enrollment)</w:t>
            </w:r>
          </w:p>
        </w:tc>
      </w:tr>
      <w:tr w:rsidR="009567F3">
        <w:trPr>
          <w:trHeight w:val="220"/>
        </w:trPr>
        <w:tc>
          <w:tcPr>
            <w:tcW w:w="6008" w:type="dxa"/>
          </w:tcPr>
          <w:p w:rsidR="009567F3" w:rsidRDefault="007E6E9F">
            <w:pPr>
              <w:pStyle w:val="TableParagraph"/>
              <w:spacing w:before="1"/>
              <w:ind w:left="105"/>
              <w:rPr>
                <w:sz w:val="18"/>
              </w:rPr>
            </w:pPr>
            <w:r>
              <w:rPr>
                <w:sz w:val="18"/>
              </w:rPr>
              <w:t>Benefit subsidy for part-time classified employees enrolled in a part-time plan</w:t>
            </w:r>
          </w:p>
        </w:tc>
        <w:tc>
          <w:tcPr>
            <w:tcW w:w="2093" w:type="dxa"/>
          </w:tcPr>
          <w:p w:rsidR="009567F3" w:rsidRDefault="007E6E9F">
            <w:pPr>
              <w:pStyle w:val="TableParagraph"/>
              <w:spacing w:before="1"/>
              <w:rPr>
                <w:sz w:val="18"/>
              </w:rPr>
            </w:pPr>
            <w:r>
              <w:rPr>
                <w:sz w:val="18"/>
              </w:rPr>
              <w:t>PST</w:t>
            </w:r>
          </w:p>
        </w:tc>
      </w:tr>
      <w:tr w:rsidR="009567F3">
        <w:trPr>
          <w:trHeight w:val="218"/>
        </w:trPr>
        <w:tc>
          <w:tcPr>
            <w:tcW w:w="6008" w:type="dxa"/>
          </w:tcPr>
          <w:p w:rsidR="009567F3" w:rsidRDefault="007E6E9F">
            <w:pPr>
              <w:pStyle w:val="TableParagraph"/>
              <w:spacing w:line="198" w:lineRule="exact"/>
              <w:ind w:left="105"/>
              <w:rPr>
                <w:sz w:val="18"/>
              </w:rPr>
            </w:pPr>
            <w:r>
              <w:rPr>
                <w:sz w:val="18"/>
              </w:rPr>
              <w:t>Opt-out in place of medical insurance or medical</w:t>
            </w:r>
          </w:p>
        </w:tc>
        <w:tc>
          <w:tcPr>
            <w:tcW w:w="2093" w:type="dxa"/>
          </w:tcPr>
          <w:p w:rsidR="009567F3" w:rsidRDefault="007E6E9F">
            <w:pPr>
              <w:pStyle w:val="TableParagraph"/>
              <w:spacing w:line="198" w:lineRule="exact"/>
              <w:rPr>
                <w:sz w:val="18"/>
              </w:rPr>
            </w:pPr>
            <w:r>
              <w:rPr>
                <w:sz w:val="18"/>
              </w:rPr>
              <w:t>POO A</w:t>
            </w:r>
          </w:p>
        </w:tc>
      </w:tr>
      <w:tr w:rsidR="009567F3">
        <w:trPr>
          <w:trHeight w:val="659"/>
        </w:trPr>
        <w:tc>
          <w:tcPr>
            <w:tcW w:w="6008" w:type="dxa"/>
          </w:tcPr>
          <w:p w:rsidR="009567F3" w:rsidRDefault="007E6E9F">
            <w:pPr>
              <w:pStyle w:val="TableParagraph"/>
              <w:spacing w:before="1" w:line="220" w:lineRule="atLeast"/>
              <w:ind w:left="105" w:right="350"/>
              <w:jc w:val="both"/>
              <w:rPr>
                <w:sz w:val="18"/>
              </w:rPr>
            </w:pPr>
            <w:r>
              <w:rPr>
                <w:sz w:val="18"/>
              </w:rPr>
              <w:t>$40 Premium Subsidy. If monthly salary base is less than or equal to $3,279 (effective 07/01/22). Salary base rate is the full-time equivalent rate. Must be enrolled in a full-time medical plan.</w:t>
            </w:r>
          </w:p>
        </w:tc>
        <w:tc>
          <w:tcPr>
            <w:tcW w:w="2093" w:type="dxa"/>
          </w:tcPr>
          <w:p w:rsidR="009567F3" w:rsidRDefault="007E6E9F">
            <w:pPr>
              <w:pStyle w:val="TableParagraph"/>
              <w:spacing w:before="1" w:line="240" w:lineRule="auto"/>
              <w:rPr>
                <w:sz w:val="18"/>
              </w:rPr>
            </w:pPr>
            <w:r>
              <w:rPr>
                <w:sz w:val="18"/>
              </w:rPr>
              <w:t>P40</w:t>
            </w:r>
          </w:p>
        </w:tc>
      </w:tr>
    </w:tbl>
    <w:p w:rsidR="009567F3" w:rsidRDefault="009567F3">
      <w:pPr>
        <w:pStyle w:val="BodyText"/>
        <w:spacing w:before="9"/>
        <w:rPr>
          <w:sz w:val="12"/>
        </w:rPr>
      </w:pPr>
    </w:p>
    <w:p w:rsidR="009567F3" w:rsidRDefault="007E6E9F">
      <w:pPr>
        <w:pStyle w:val="BodyText"/>
        <w:spacing w:before="64"/>
        <w:ind w:left="703"/>
      </w:pPr>
      <w:r>
        <w:t xml:space="preserve">*Deduction Code is a </w:t>
      </w:r>
      <w:proofErr w:type="gramStart"/>
      <w:r>
        <w:t>three digit</w:t>
      </w:r>
      <w:proofErr w:type="gramEnd"/>
      <w:r>
        <w:t xml:space="preserve"> code identifying the deduction/plan. Dental plans start with “PD” and medical plans start with “PM”</w:t>
      </w:r>
    </w:p>
    <w:p w:rsidR="009567F3" w:rsidRDefault="007E6E9F">
      <w:pPr>
        <w:pStyle w:val="BodyText"/>
        <w:spacing w:before="1"/>
        <w:ind w:left="540" w:right="875" w:firstLine="81"/>
      </w:pPr>
      <w:r>
        <w:t>** PEBB Employee Share Pre-tax, this is the employee’s share of CORE premium costs minus any subsidies. Part time employee’s amount it is prorated based on the number of hours worked/paid in the pay period.</w:t>
      </w:r>
    </w:p>
    <w:p w:rsidR="009567F3" w:rsidRDefault="007E6E9F">
      <w:pPr>
        <w:pStyle w:val="BodyText"/>
        <w:ind w:left="540" w:right="559"/>
      </w:pPr>
      <w:r w:rsidRPr="00E173A1">
        <w:rPr>
          <w:highlight w:val="yellow"/>
        </w:rPr>
        <w:t xml:space="preserve">***Employer Contribution: </w:t>
      </w:r>
      <w:r w:rsidR="006F3C56">
        <w:rPr>
          <w:highlight w:val="yellow"/>
        </w:rPr>
        <w:t xml:space="preserve">This shows as a negative figure. </w:t>
      </w:r>
      <w:r w:rsidRPr="00E173A1">
        <w:rPr>
          <w:highlight w:val="yellow"/>
        </w:rPr>
        <w:t>For full-time classified and .5+FTE unclassified employees, this amount shows at 100% of premium costs for CORE benefits. The employee cost is calculated and shown under the Employee Premium Share deduction code (P5P or P3P). For part-time classified employees, the employer contribution is prorated based on the number of hours worked/paid in the pay period.</w:t>
      </w:r>
    </w:p>
    <w:p w:rsidR="009567F3" w:rsidRDefault="007E6E9F">
      <w:pPr>
        <w:pStyle w:val="BodyText"/>
        <w:spacing w:before="1"/>
        <w:ind w:left="540" w:right="536"/>
      </w:pPr>
      <w:r>
        <w:t>****PEBB, Incentive for HEM: If you are eligible and participate in the HEM program</w:t>
      </w:r>
      <w:r w:rsidR="00E93048">
        <w:t>,</w:t>
      </w:r>
      <w:bookmarkStart w:id="0" w:name="_GoBack"/>
      <w:bookmarkEnd w:id="0"/>
      <w:r>
        <w:t xml:space="preserve"> you will receive a monthly cash back incentive of $17.50. This shows up as a negative deduction, thus reducing your cost.</w:t>
      </w:r>
    </w:p>
    <w:p w:rsidR="009567F3" w:rsidRDefault="009567F3">
      <w:pPr>
        <w:pStyle w:val="BodyText"/>
        <w:spacing w:before="11"/>
        <w:rPr>
          <w:sz w:val="17"/>
        </w:rPr>
      </w:pPr>
    </w:p>
    <w:p w:rsidR="009567F3" w:rsidRDefault="007E6E9F">
      <w:pPr>
        <w:pStyle w:val="BodyText"/>
        <w:ind w:left="540" w:right="536"/>
      </w:pPr>
      <w:r>
        <w:t>Part-time classified employees may have additional out of pocket cost for CORE benefits (greater than 5%) based on the prorated employer contribution and the plan/tier they are enrolled in. To determine the total employee cost, add the amounts listed under the above codes together.</w:t>
      </w:r>
    </w:p>
    <w:p w:rsidR="009567F3" w:rsidRDefault="009567F3">
      <w:pPr>
        <w:pStyle w:val="BodyText"/>
      </w:pPr>
    </w:p>
    <w:p w:rsidR="009567F3" w:rsidRDefault="007E6E9F">
      <w:pPr>
        <w:pStyle w:val="BodyText"/>
        <w:spacing w:before="1"/>
        <w:ind w:left="540" w:right="511"/>
      </w:pPr>
      <w:r>
        <w:t>If you cover a domestic partner on your CORE benefits package and are required to pay the imputed tax value for that coverage, this will appear on your earnings statement in the earnings section as additional taxable income.</w:t>
      </w:r>
    </w:p>
    <w:p w:rsidR="009567F3" w:rsidRDefault="009567F3">
      <w:pPr>
        <w:pStyle w:val="BodyText"/>
      </w:pPr>
    </w:p>
    <w:p w:rsidR="009567F3" w:rsidRDefault="007E6E9F">
      <w:pPr>
        <w:pStyle w:val="BodyText"/>
        <w:ind w:left="540" w:right="515"/>
      </w:pPr>
      <w:r>
        <w:t>Employees may also sign up for additional optional benefits through PEBB, such as employee, spouse or dependent life insurance (deduction codes “CL2”, “CL3”, “L02”, and “L03”)</w:t>
      </w:r>
      <w:r w:rsidR="006F3C56">
        <w:t>,</w:t>
      </w:r>
      <w:r>
        <w:t xml:space="preserve"> accidental death &amp; dismemberment insurance (“LAE” or “LAF”), disability insurance (“LST”, “LTD”), long term care insurance (“LCE” and “LCS”), and flexible spending accounts (“PXM” and “PXS”). These are not included in the CORE benefits package and are deducted from the employee’s pay.</w:t>
      </w:r>
    </w:p>
    <w:p w:rsidR="009567F3" w:rsidRDefault="009567F3">
      <w:pPr>
        <w:pStyle w:val="BodyText"/>
        <w:spacing w:before="11"/>
        <w:rPr>
          <w:sz w:val="17"/>
        </w:rPr>
      </w:pPr>
    </w:p>
    <w:p w:rsidR="009567F3" w:rsidRDefault="007E6E9F">
      <w:pPr>
        <w:pStyle w:val="BodyText"/>
        <w:ind w:left="540" w:right="921"/>
      </w:pPr>
      <w:r>
        <w:t xml:space="preserve">On the sample earnings statement, the employee is a full-time unclassified employee who has chosen the PEBB </w:t>
      </w:r>
      <w:proofErr w:type="spellStart"/>
      <w:r w:rsidR="006F3C56">
        <w:t>Moda</w:t>
      </w:r>
      <w:proofErr w:type="spellEnd"/>
      <w:r>
        <w:t xml:space="preserve"> Plan for medical coverage and </w:t>
      </w:r>
      <w:r w:rsidR="006F3C56">
        <w:t>Delta/</w:t>
      </w:r>
      <w:proofErr w:type="spellStart"/>
      <w:r w:rsidR="006F3C56">
        <w:t>Moda</w:t>
      </w:r>
      <w:proofErr w:type="spellEnd"/>
      <w:r>
        <w:t xml:space="preserve"> Traditional for dental coverage. To determine the employee’s cost of the CORE benefits package, add the following benefit codes together:</w:t>
      </w:r>
    </w:p>
    <w:p w:rsidR="009567F3" w:rsidRDefault="009567F3">
      <w:pPr>
        <w:pStyle w:val="BodyText"/>
      </w:pPr>
    </w:p>
    <w:tbl>
      <w:tblPr>
        <w:tblW w:w="0" w:type="auto"/>
        <w:tblInd w:w="626" w:type="dxa"/>
        <w:tblLayout w:type="fixed"/>
        <w:tblCellMar>
          <w:left w:w="0" w:type="dxa"/>
          <w:right w:w="0" w:type="dxa"/>
        </w:tblCellMar>
        <w:tblLook w:val="01E0" w:firstRow="1" w:lastRow="1" w:firstColumn="1" w:lastColumn="1" w:noHBand="0" w:noVBand="0"/>
      </w:tblPr>
      <w:tblGrid>
        <w:gridCol w:w="3180"/>
        <w:gridCol w:w="3044"/>
        <w:gridCol w:w="2686"/>
        <w:gridCol w:w="2070"/>
      </w:tblGrid>
      <w:tr w:rsidR="009567F3">
        <w:trPr>
          <w:trHeight w:val="221"/>
        </w:trPr>
        <w:tc>
          <w:tcPr>
            <w:tcW w:w="3180" w:type="dxa"/>
            <w:tcBorders>
              <w:top w:val="single" w:sz="8" w:space="0" w:color="000000"/>
            </w:tcBorders>
            <w:shd w:val="clear" w:color="auto" w:fill="D9D9D9"/>
          </w:tcPr>
          <w:p w:rsidR="009567F3" w:rsidRDefault="007E6E9F">
            <w:pPr>
              <w:pStyle w:val="TableParagraph"/>
              <w:spacing w:before="1"/>
              <w:ind w:left="1058"/>
              <w:rPr>
                <w:sz w:val="18"/>
              </w:rPr>
            </w:pPr>
            <w:r>
              <w:rPr>
                <w:sz w:val="18"/>
              </w:rPr>
              <w:t>Deduction Code</w:t>
            </w:r>
          </w:p>
        </w:tc>
        <w:tc>
          <w:tcPr>
            <w:tcW w:w="3044" w:type="dxa"/>
            <w:tcBorders>
              <w:top w:val="single" w:sz="8" w:space="0" w:color="000000"/>
            </w:tcBorders>
            <w:shd w:val="clear" w:color="auto" w:fill="D9D9D9"/>
          </w:tcPr>
          <w:p w:rsidR="009567F3" w:rsidRDefault="007E6E9F">
            <w:pPr>
              <w:pStyle w:val="TableParagraph"/>
              <w:spacing w:before="1"/>
              <w:ind w:left="1098" w:right="1068"/>
              <w:jc w:val="center"/>
              <w:rPr>
                <w:sz w:val="18"/>
              </w:rPr>
            </w:pPr>
            <w:r>
              <w:rPr>
                <w:sz w:val="18"/>
              </w:rPr>
              <w:t>Description</w:t>
            </w:r>
          </w:p>
        </w:tc>
        <w:tc>
          <w:tcPr>
            <w:tcW w:w="2686" w:type="dxa"/>
            <w:tcBorders>
              <w:top w:val="single" w:sz="8" w:space="0" w:color="000000"/>
            </w:tcBorders>
            <w:shd w:val="clear" w:color="auto" w:fill="D9D9D9"/>
          </w:tcPr>
          <w:p w:rsidR="009567F3" w:rsidRDefault="007E6E9F">
            <w:pPr>
              <w:pStyle w:val="TableParagraph"/>
              <w:spacing w:before="1"/>
              <w:ind w:left="756"/>
              <w:rPr>
                <w:sz w:val="18"/>
              </w:rPr>
            </w:pPr>
            <w:r>
              <w:rPr>
                <w:sz w:val="18"/>
              </w:rPr>
              <w:t>Employee</w:t>
            </w:r>
          </w:p>
        </w:tc>
        <w:tc>
          <w:tcPr>
            <w:tcW w:w="2070" w:type="dxa"/>
            <w:tcBorders>
              <w:top w:val="single" w:sz="8" w:space="0" w:color="000000"/>
            </w:tcBorders>
            <w:shd w:val="clear" w:color="auto" w:fill="D9D9D9"/>
          </w:tcPr>
          <w:p w:rsidR="009567F3" w:rsidRDefault="007E6E9F">
            <w:pPr>
              <w:pStyle w:val="TableParagraph"/>
              <w:spacing w:before="1"/>
              <w:ind w:left="492"/>
              <w:rPr>
                <w:sz w:val="18"/>
              </w:rPr>
            </w:pPr>
            <w:r>
              <w:rPr>
                <w:sz w:val="18"/>
              </w:rPr>
              <w:t>Employer</w:t>
            </w:r>
          </w:p>
        </w:tc>
      </w:tr>
      <w:tr w:rsidR="009567F3">
        <w:trPr>
          <w:trHeight w:val="241"/>
        </w:trPr>
        <w:tc>
          <w:tcPr>
            <w:tcW w:w="3180" w:type="dxa"/>
          </w:tcPr>
          <w:p w:rsidR="009567F3" w:rsidRDefault="007E6E9F">
            <w:pPr>
              <w:pStyle w:val="TableParagraph"/>
              <w:spacing w:before="4" w:line="218" w:lineRule="exact"/>
              <w:ind w:left="122"/>
              <w:rPr>
                <w:sz w:val="18"/>
              </w:rPr>
            </w:pPr>
            <w:r>
              <w:rPr>
                <w:sz w:val="18"/>
              </w:rPr>
              <w:t>CL1</w:t>
            </w:r>
          </w:p>
        </w:tc>
        <w:tc>
          <w:tcPr>
            <w:tcW w:w="3044" w:type="dxa"/>
          </w:tcPr>
          <w:p w:rsidR="009567F3" w:rsidRDefault="007E6E9F">
            <w:pPr>
              <w:pStyle w:val="TableParagraph"/>
              <w:spacing w:before="4" w:line="218" w:lineRule="exact"/>
              <w:ind w:left="202"/>
              <w:rPr>
                <w:sz w:val="18"/>
              </w:rPr>
            </w:pPr>
            <w:r>
              <w:rPr>
                <w:sz w:val="18"/>
              </w:rPr>
              <w:t>PEBB Basic Life $5,000</w:t>
            </w:r>
          </w:p>
        </w:tc>
        <w:tc>
          <w:tcPr>
            <w:tcW w:w="2686" w:type="dxa"/>
          </w:tcPr>
          <w:p w:rsidR="009567F3" w:rsidRDefault="00E173A1">
            <w:pPr>
              <w:pStyle w:val="TableParagraph"/>
              <w:spacing w:before="4" w:line="218" w:lineRule="exact"/>
              <w:ind w:left="0" w:right="492"/>
              <w:jc w:val="right"/>
              <w:rPr>
                <w:sz w:val="18"/>
              </w:rPr>
            </w:pPr>
            <w:r>
              <w:rPr>
                <w:sz w:val="18"/>
              </w:rPr>
              <w:t>1.60</w:t>
            </w:r>
          </w:p>
        </w:tc>
        <w:tc>
          <w:tcPr>
            <w:tcW w:w="2070" w:type="dxa"/>
          </w:tcPr>
          <w:p w:rsidR="009567F3" w:rsidRDefault="007E6E9F">
            <w:pPr>
              <w:pStyle w:val="TableParagraph"/>
              <w:spacing w:before="4" w:line="218" w:lineRule="exact"/>
              <w:ind w:left="0" w:right="106"/>
              <w:jc w:val="right"/>
              <w:rPr>
                <w:sz w:val="18"/>
              </w:rPr>
            </w:pPr>
            <w:r>
              <w:rPr>
                <w:sz w:val="18"/>
              </w:rPr>
              <w:t>0.00</w:t>
            </w:r>
          </w:p>
        </w:tc>
      </w:tr>
      <w:tr w:rsidR="009567F3">
        <w:trPr>
          <w:trHeight w:val="223"/>
        </w:trPr>
        <w:tc>
          <w:tcPr>
            <w:tcW w:w="3180" w:type="dxa"/>
          </w:tcPr>
          <w:p w:rsidR="009567F3" w:rsidRDefault="007E6E9F">
            <w:pPr>
              <w:pStyle w:val="TableParagraph"/>
              <w:spacing w:line="203" w:lineRule="exact"/>
              <w:ind w:left="122"/>
              <w:rPr>
                <w:sz w:val="18"/>
              </w:rPr>
            </w:pPr>
            <w:r>
              <w:rPr>
                <w:sz w:val="18"/>
              </w:rPr>
              <w:t>P5P</w:t>
            </w:r>
          </w:p>
        </w:tc>
        <w:tc>
          <w:tcPr>
            <w:tcW w:w="3044" w:type="dxa"/>
          </w:tcPr>
          <w:p w:rsidR="009567F3" w:rsidRDefault="007E6E9F">
            <w:pPr>
              <w:pStyle w:val="TableParagraph"/>
              <w:spacing w:line="203" w:lineRule="exact"/>
              <w:ind w:left="202"/>
              <w:rPr>
                <w:sz w:val="18"/>
              </w:rPr>
            </w:pPr>
            <w:r>
              <w:rPr>
                <w:sz w:val="18"/>
              </w:rPr>
              <w:t xml:space="preserve">PEBB </w:t>
            </w:r>
            <w:proofErr w:type="spellStart"/>
            <w:r>
              <w:rPr>
                <w:sz w:val="18"/>
              </w:rPr>
              <w:t>Empl</w:t>
            </w:r>
            <w:proofErr w:type="spellEnd"/>
            <w:r>
              <w:rPr>
                <w:sz w:val="18"/>
              </w:rPr>
              <w:t xml:space="preserve"> </w:t>
            </w:r>
            <w:proofErr w:type="spellStart"/>
            <w:r>
              <w:rPr>
                <w:sz w:val="18"/>
              </w:rPr>
              <w:t>Prcnt</w:t>
            </w:r>
            <w:proofErr w:type="spellEnd"/>
            <w:r>
              <w:rPr>
                <w:sz w:val="18"/>
              </w:rPr>
              <w:t>, Pre-Tax</w:t>
            </w:r>
          </w:p>
        </w:tc>
        <w:tc>
          <w:tcPr>
            <w:tcW w:w="2686" w:type="dxa"/>
          </w:tcPr>
          <w:p w:rsidR="009567F3" w:rsidRDefault="00E173A1">
            <w:pPr>
              <w:pStyle w:val="TableParagraph"/>
              <w:spacing w:line="203" w:lineRule="exact"/>
              <w:ind w:left="0" w:right="492"/>
              <w:jc w:val="right"/>
              <w:rPr>
                <w:sz w:val="18"/>
              </w:rPr>
            </w:pPr>
            <w:r>
              <w:rPr>
                <w:sz w:val="18"/>
              </w:rPr>
              <w:t>89.85</w:t>
            </w:r>
          </w:p>
        </w:tc>
        <w:tc>
          <w:tcPr>
            <w:tcW w:w="2070" w:type="dxa"/>
          </w:tcPr>
          <w:p w:rsidR="009567F3" w:rsidRDefault="007E6E9F">
            <w:pPr>
              <w:pStyle w:val="TableParagraph"/>
              <w:spacing w:line="203" w:lineRule="exact"/>
              <w:ind w:left="0" w:right="106"/>
              <w:jc w:val="right"/>
              <w:rPr>
                <w:sz w:val="18"/>
              </w:rPr>
            </w:pPr>
            <w:r>
              <w:rPr>
                <w:sz w:val="18"/>
              </w:rPr>
              <w:t>0.00</w:t>
            </w:r>
          </w:p>
        </w:tc>
      </w:tr>
      <w:tr w:rsidR="009567F3">
        <w:trPr>
          <w:trHeight w:val="222"/>
        </w:trPr>
        <w:tc>
          <w:tcPr>
            <w:tcW w:w="3180" w:type="dxa"/>
          </w:tcPr>
          <w:p w:rsidR="009567F3" w:rsidRDefault="007E6E9F">
            <w:pPr>
              <w:pStyle w:val="TableParagraph"/>
              <w:spacing w:line="202" w:lineRule="exact"/>
              <w:ind w:left="122"/>
              <w:rPr>
                <w:sz w:val="18"/>
              </w:rPr>
            </w:pPr>
            <w:r>
              <w:rPr>
                <w:sz w:val="18"/>
              </w:rPr>
              <w:t>PDT</w:t>
            </w:r>
          </w:p>
        </w:tc>
        <w:tc>
          <w:tcPr>
            <w:tcW w:w="3044" w:type="dxa"/>
          </w:tcPr>
          <w:p w:rsidR="009567F3" w:rsidRDefault="006F3C56">
            <w:pPr>
              <w:pStyle w:val="TableParagraph"/>
              <w:spacing w:line="202" w:lineRule="exact"/>
              <w:ind w:left="202"/>
              <w:rPr>
                <w:sz w:val="18"/>
              </w:rPr>
            </w:pPr>
            <w:r>
              <w:rPr>
                <w:sz w:val="18"/>
              </w:rPr>
              <w:t>Delta/</w:t>
            </w:r>
            <w:proofErr w:type="spellStart"/>
            <w:r>
              <w:rPr>
                <w:sz w:val="18"/>
              </w:rPr>
              <w:t>Moda</w:t>
            </w:r>
            <w:proofErr w:type="spellEnd"/>
            <w:r w:rsidR="007E6E9F">
              <w:rPr>
                <w:sz w:val="18"/>
              </w:rPr>
              <w:t xml:space="preserve"> Traditional Pre-Tax</w:t>
            </w:r>
          </w:p>
        </w:tc>
        <w:tc>
          <w:tcPr>
            <w:tcW w:w="2686" w:type="dxa"/>
          </w:tcPr>
          <w:p w:rsidR="009567F3" w:rsidRDefault="00E173A1">
            <w:pPr>
              <w:pStyle w:val="TableParagraph"/>
              <w:spacing w:line="202" w:lineRule="exact"/>
              <w:ind w:left="0" w:right="492"/>
              <w:jc w:val="right"/>
              <w:rPr>
                <w:sz w:val="18"/>
              </w:rPr>
            </w:pPr>
            <w:r>
              <w:rPr>
                <w:sz w:val="18"/>
              </w:rPr>
              <w:t>124.59</w:t>
            </w:r>
          </w:p>
        </w:tc>
        <w:tc>
          <w:tcPr>
            <w:tcW w:w="2070" w:type="dxa"/>
          </w:tcPr>
          <w:p w:rsidR="009567F3" w:rsidRDefault="007E6E9F">
            <w:pPr>
              <w:pStyle w:val="TableParagraph"/>
              <w:spacing w:line="202" w:lineRule="exact"/>
              <w:ind w:left="0" w:right="106"/>
              <w:jc w:val="right"/>
              <w:rPr>
                <w:sz w:val="18"/>
              </w:rPr>
            </w:pPr>
            <w:r>
              <w:rPr>
                <w:sz w:val="18"/>
              </w:rPr>
              <w:t>0.00</w:t>
            </w:r>
          </w:p>
        </w:tc>
      </w:tr>
      <w:tr w:rsidR="009567F3">
        <w:trPr>
          <w:trHeight w:val="219"/>
        </w:trPr>
        <w:tc>
          <w:tcPr>
            <w:tcW w:w="3180" w:type="dxa"/>
          </w:tcPr>
          <w:p w:rsidR="009567F3" w:rsidRDefault="007E6E9F">
            <w:pPr>
              <w:pStyle w:val="TableParagraph"/>
              <w:spacing w:line="200" w:lineRule="exact"/>
              <w:ind w:left="122"/>
              <w:rPr>
                <w:sz w:val="18"/>
              </w:rPr>
            </w:pPr>
            <w:r>
              <w:rPr>
                <w:sz w:val="18"/>
              </w:rPr>
              <w:t>PM</w:t>
            </w:r>
            <w:r w:rsidR="00E173A1">
              <w:rPr>
                <w:sz w:val="18"/>
              </w:rPr>
              <w:t>A</w:t>
            </w:r>
          </w:p>
        </w:tc>
        <w:tc>
          <w:tcPr>
            <w:tcW w:w="3044" w:type="dxa"/>
          </w:tcPr>
          <w:p w:rsidR="009567F3" w:rsidRDefault="00E173A1">
            <w:pPr>
              <w:pStyle w:val="TableParagraph"/>
              <w:spacing w:line="200" w:lineRule="exact"/>
              <w:ind w:left="202"/>
              <w:rPr>
                <w:sz w:val="18"/>
              </w:rPr>
            </w:pPr>
            <w:proofErr w:type="spellStart"/>
            <w:r>
              <w:rPr>
                <w:sz w:val="18"/>
              </w:rPr>
              <w:t>Moda</w:t>
            </w:r>
            <w:proofErr w:type="spellEnd"/>
            <w:r w:rsidR="007E6E9F">
              <w:rPr>
                <w:sz w:val="18"/>
              </w:rPr>
              <w:t>, Pre-Tax</w:t>
            </w:r>
          </w:p>
        </w:tc>
        <w:tc>
          <w:tcPr>
            <w:tcW w:w="2686" w:type="dxa"/>
          </w:tcPr>
          <w:p w:rsidR="009567F3" w:rsidRDefault="00E173A1">
            <w:pPr>
              <w:pStyle w:val="TableParagraph"/>
              <w:spacing w:line="200" w:lineRule="exact"/>
              <w:ind w:left="0" w:right="492"/>
              <w:jc w:val="right"/>
              <w:rPr>
                <w:sz w:val="18"/>
              </w:rPr>
            </w:pPr>
            <w:r>
              <w:rPr>
                <w:sz w:val="18"/>
              </w:rPr>
              <w:t>1654.12</w:t>
            </w:r>
          </w:p>
        </w:tc>
        <w:tc>
          <w:tcPr>
            <w:tcW w:w="2070" w:type="dxa"/>
          </w:tcPr>
          <w:p w:rsidR="009567F3" w:rsidRDefault="007E6E9F">
            <w:pPr>
              <w:pStyle w:val="TableParagraph"/>
              <w:spacing w:line="200" w:lineRule="exact"/>
              <w:ind w:left="0" w:right="106"/>
              <w:jc w:val="right"/>
              <w:rPr>
                <w:sz w:val="18"/>
              </w:rPr>
            </w:pPr>
            <w:r>
              <w:rPr>
                <w:sz w:val="18"/>
              </w:rPr>
              <w:t>0.00</w:t>
            </w:r>
          </w:p>
        </w:tc>
      </w:tr>
      <w:tr w:rsidR="009567F3">
        <w:trPr>
          <w:trHeight w:val="219"/>
        </w:trPr>
        <w:tc>
          <w:tcPr>
            <w:tcW w:w="3180" w:type="dxa"/>
          </w:tcPr>
          <w:p w:rsidR="009567F3" w:rsidRPr="00E173A1" w:rsidRDefault="007E6E9F">
            <w:pPr>
              <w:pStyle w:val="TableParagraph"/>
              <w:spacing w:line="200" w:lineRule="exact"/>
              <w:ind w:left="122"/>
              <w:rPr>
                <w:sz w:val="18"/>
                <w:highlight w:val="yellow"/>
              </w:rPr>
            </w:pPr>
            <w:r w:rsidRPr="00E173A1">
              <w:rPr>
                <w:sz w:val="18"/>
                <w:highlight w:val="yellow"/>
              </w:rPr>
              <w:t>PSA</w:t>
            </w:r>
          </w:p>
        </w:tc>
        <w:tc>
          <w:tcPr>
            <w:tcW w:w="3044" w:type="dxa"/>
          </w:tcPr>
          <w:p w:rsidR="009567F3" w:rsidRPr="00E173A1" w:rsidRDefault="007E6E9F">
            <w:pPr>
              <w:pStyle w:val="TableParagraph"/>
              <w:spacing w:line="200" w:lineRule="exact"/>
              <w:ind w:left="202"/>
              <w:rPr>
                <w:sz w:val="18"/>
                <w:highlight w:val="yellow"/>
              </w:rPr>
            </w:pPr>
            <w:r w:rsidRPr="00E173A1">
              <w:rPr>
                <w:sz w:val="18"/>
                <w:highlight w:val="yellow"/>
              </w:rPr>
              <w:t>PEBB Employer Contribution</w:t>
            </w:r>
          </w:p>
        </w:tc>
        <w:tc>
          <w:tcPr>
            <w:tcW w:w="2686" w:type="dxa"/>
          </w:tcPr>
          <w:p w:rsidR="009567F3" w:rsidRPr="00E173A1" w:rsidRDefault="007E6E9F">
            <w:pPr>
              <w:pStyle w:val="TableParagraph"/>
              <w:spacing w:line="200" w:lineRule="exact"/>
              <w:ind w:left="0" w:right="492"/>
              <w:jc w:val="right"/>
              <w:rPr>
                <w:sz w:val="18"/>
                <w:highlight w:val="yellow"/>
              </w:rPr>
            </w:pPr>
            <w:r w:rsidRPr="00E173A1">
              <w:rPr>
                <w:sz w:val="18"/>
                <w:highlight w:val="yellow"/>
              </w:rPr>
              <w:t>-</w:t>
            </w:r>
            <w:r w:rsidR="00E173A1">
              <w:rPr>
                <w:sz w:val="18"/>
                <w:highlight w:val="yellow"/>
              </w:rPr>
              <w:t>-1797.04</w:t>
            </w:r>
          </w:p>
        </w:tc>
        <w:tc>
          <w:tcPr>
            <w:tcW w:w="2070" w:type="dxa"/>
          </w:tcPr>
          <w:p w:rsidR="009567F3" w:rsidRDefault="007E6E9F">
            <w:pPr>
              <w:pStyle w:val="TableParagraph"/>
              <w:spacing w:line="200" w:lineRule="exact"/>
              <w:ind w:left="0" w:right="106"/>
              <w:jc w:val="right"/>
              <w:rPr>
                <w:sz w:val="18"/>
              </w:rPr>
            </w:pPr>
            <w:r>
              <w:rPr>
                <w:sz w:val="18"/>
              </w:rPr>
              <w:t>1,383.00</w:t>
            </w:r>
          </w:p>
        </w:tc>
      </w:tr>
      <w:tr w:rsidR="009567F3">
        <w:trPr>
          <w:trHeight w:val="203"/>
        </w:trPr>
        <w:tc>
          <w:tcPr>
            <w:tcW w:w="3180" w:type="dxa"/>
          </w:tcPr>
          <w:p w:rsidR="009567F3" w:rsidRDefault="007E6E9F">
            <w:pPr>
              <w:pStyle w:val="TableParagraph"/>
              <w:spacing w:line="183" w:lineRule="exact"/>
              <w:ind w:left="122"/>
              <w:rPr>
                <w:sz w:val="18"/>
              </w:rPr>
            </w:pPr>
            <w:r>
              <w:rPr>
                <w:sz w:val="18"/>
              </w:rPr>
              <w:t>PVP</w:t>
            </w:r>
          </w:p>
        </w:tc>
        <w:tc>
          <w:tcPr>
            <w:tcW w:w="3044" w:type="dxa"/>
          </w:tcPr>
          <w:p w:rsidR="009567F3" w:rsidRDefault="007E6E9F">
            <w:pPr>
              <w:pStyle w:val="TableParagraph"/>
              <w:spacing w:line="183" w:lineRule="exact"/>
              <w:ind w:left="202"/>
              <w:rPr>
                <w:sz w:val="18"/>
              </w:rPr>
            </w:pPr>
            <w:r>
              <w:rPr>
                <w:sz w:val="18"/>
              </w:rPr>
              <w:t>VSP Pre-Tax (Vision Plan)</w:t>
            </w:r>
          </w:p>
        </w:tc>
        <w:tc>
          <w:tcPr>
            <w:tcW w:w="2686" w:type="dxa"/>
          </w:tcPr>
          <w:p w:rsidR="009567F3" w:rsidRDefault="00E173A1">
            <w:pPr>
              <w:pStyle w:val="TableParagraph"/>
              <w:spacing w:line="183" w:lineRule="exact"/>
              <w:ind w:left="0" w:right="492"/>
              <w:jc w:val="right"/>
              <w:rPr>
                <w:sz w:val="18"/>
              </w:rPr>
            </w:pPr>
            <w:r>
              <w:rPr>
                <w:sz w:val="18"/>
              </w:rPr>
              <w:t>16.73</w:t>
            </w:r>
          </w:p>
        </w:tc>
        <w:tc>
          <w:tcPr>
            <w:tcW w:w="2070" w:type="dxa"/>
          </w:tcPr>
          <w:p w:rsidR="009567F3" w:rsidRDefault="007E6E9F">
            <w:pPr>
              <w:pStyle w:val="TableParagraph"/>
              <w:spacing w:line="183" w:lineRule="exact"/>
              <w:ind w:left="0" w:right="106"/>
              <w:jc w:val="right"/>
              <w:rPr>
                <w:sz w:val="18"/>
              </w:rPr>
            </w:pPr>
            <w:r>
              <w:rPr>
                <w:sz w:val="18"/>
              </w:rPr>
              <w:t>0.00</w:t>
            </w:r>
          </w:p>
        </w:tc>
      </w:tr>
      <w:tr w:rsidR="009567F3">
        <w:trPr>
          <w:trHeight w:val="448"/>
        </w:trPr>
        <w:tc>
          <w:tcPr>
            <w:tcW w:w="3180" w:type="dxa"/>
            <w:tcBorders>
              <w:bottom w:val="single" w:sz="4" w:space="0" w:color="000000"/>
            </w:tcBorders>
            <w:shd w:val="clear" w:color="auto" w:fill="D9D9D9"/>
          </w:tcPr>
          <w:p w:rsidR="009567F3" w:rsidRDefault="007E6E9F">
            <w:pPr>
              <w:pStyle w:val="TableParagraph"/>
              <w:spacing w:before="3" w:line="220" w:lineRule="atLeast"/>
              <w:ind w:left="122"/>
              <w:rPr>
                <w:b/>
                <w:sz w:val="18"/>
              </w:rPr>
            </w:pPr>
            <w:r>
              <w:rPr>
                <w:b/>
                <w:sz w:val="18"/>
              </w:rPr>
              <w:t>TOTAL cost to employee for CORE Benefits Package</w:t>
            </w:r>
          </w:p>
        </w:tc>
        <w:tc>
          <w:tcPr>
            <w:tcW w:w="3044" w:type="dxa"/>
            <w:tcBorders>
              <w:bottom w:val="single" w:sz="4" w:space="0" w:color="000000"/>
            </w:tcBorders>
            <w:shd w:val="clear" w:color="auto" w:fill="D9D9D9"/>
          </w:tcPr>
          <w:p w:rsidR="009567F3" w:rsidRDefault="009567F3">
            <w:pPr>
              <w:pStyle w:val="TableParagraph"/>
              <w:spacing w:line="240" w:lineRule="auto"/>
              <w:ind w:left="0"/>
              <w:rPr>
                <w:rFonts w:ascii="Times New Roman"/>
                <w:sz w:val="16"/>
              </w:rPr>
            </w:pPr>
          </w:p>
        </w:tc>
        <w:tc>
          <w:tcPr>
            <w:tcW w:w="2686" w:type="dxa"/>
            <w:tcBorders>
              <w:bottom w:val="single" w:sz="4" w:space="0" w:color="000000"/>
            </w:tcBorders>
            <w:shd w:val="clear" w:color="auto" w:fill="D9D9D9"/>
          </w:tcPr>
          <w:p w:rsidR="009567F3" w:rsidRDefault="009567F3">
            <w:pPr>
              <w:pStyle w:val="TableParagraph"/>
              <w:spacing w:before="9" w:line="240" w:lineRule="auto"/>
              <w:ind w:left="0"/>
              <w:rPr>
                <w:sz w:val="18"/>
              </w:rPr>
            </w:pPr>
          </w:p>
          <w:p w:rsidR="009567F3" w:rsidRDefault="00E173A1">
            <w:pPr>
              <w:pStyle w:val="TableParagraph"/>
              <w:ind w:left="0" w:right="492"/>
              <w:jc w:val="right"/>
              <w:rPr>
                <w:b/>
                <w:sz w:val="18"/>
              </w:rPr>
            </w:pPr>
            <w:r>
              <w:rPr>
                <w:b/>
                <w:sz w:val="18"/>
              </w:rPr>
              <w:t>89.85</w:t>
            </w:r>
          </w:p>
        </w:tc>
        <w:tc>
          <w:tcPr>
            <w:tcW w:w="2070" w:type="dxa"/>
            <w:tcBorders>
              <w:bottom w:val="single" w:sz="4" w:space="0" w:color="000000"/>
            </w:tcBorders>
            <w:shd w:val="clear" w:color="auto" w:fill="D9D9D9"/>
          </w:tcPr>
          <w:p w:rsidR="009567F3" w:rsidRDefault="009567F3">
            <w:pPr>
              <w:pStyle w:val="TableParagraph"/>
              <w:spacing w:before="9" w:line="240" w:lineRule="auto"/>
              <w:ind w:left="0"/>
              <w:rPr>
                <w:sz w:val="18"/>
              </w:rPr>
            </w:pPr>
          </w:p>
          <w:p w:rsidR="009567F3" w:rsidRDefault="007E6E9F">
            <w:pPr>
              <w:pStyle w:val="TableParagraph"/>
              <w:ind w:left="0" w:right="106"/>
              <w:jc w:val="right"/>
              <w:rPr>
                <w:sz w:val="18"/>
              </w:rPr>
            </w:pPr>
            <w:r>
              <w:rPr>
                <w:sz w:val="18"/>
              </w:rPr>
              <w:t>1,383.00</w:t>
            </w:r>
          </w:p>
        </w:tc>
      </w:tr>
      <w:tr w:rsidR="009567F3">
        <w:trPr>
          <w:trHeight w:val="220"/>
        </w:trPr>
        <w:tc>
          <w:tcPr>
            <w:tcW w:w="3180" w:type="dxa"/>
            <w:tcBorders>
              <w:top w:val="single" w:sz="4" w:space="0" w:color="000000"/>
            </w:tcBorders>
          </w:tcPr>
          <w:p w:rsidR="009567F3" w:rsidRDefault="007E6E9F">
            <w:pPr>
              <w:pStyle w:val="TableParagraph"/>
              <w:spacing w:before="1"/>
              <w:ind w:left="122"/>
              <w:rPr>
                <w:sz w:val="18"/>
              </w:rPr>
            </w:pPr>
            <w:r>
              <w:rPr>
                <w:sz w:val="18"/>
              </w:rPr>
              <w:t>PIH</w:t>
            </w:r>
          </w:p>
        </w:tc>
        <w:tc>
          <w:tcPr>
            <w:tcW w:w="3044" w:type="dxa"/>
            <w:tcBorders>
              <w:top w:val="single" w:sz="4" w:space="0" w:color="000000"/>
            </w:tcBorders>
          </w:tcPr>
          <w:p w:rsidR="009567F3" w:rsidRDefault="007E6E9F">
            <w:pPr>
              <w:pStyle w:val="TableParagraph"/>
              <w:spacing w:before="1"/>
              <w:ind w:left="202"/>
              <w:rPr>
                <w:sz w:val="18"/>
              </w:rPr>
            </w:pPr>
            <w:proofErr w:type="spellStart"/>
            <w:r>
              <w:rPr>
                <w:sz w:val="18"/>
              </w:rPr>
              <w:t>Pebb</w:t>
            </w:r>
            <w:proofErr w:type="spellEnd"/>
            <w:r>
              <w:rPr>
                <w:sz w:val="18"/>
              </w:rPr>
              <w:t>, Incentive for HEM</w:t>
            </w:r>
          </w:p>
        </w:tc>
        <w:tc>
          <w:tcPr>
            <w:tcW w:w="2686" w:type="dxa"/>
            <w:tcBorders>
              <w:top w:val="single" w:sz="4" w:space="0" w:color="000000"/>
            </w:tcBorders>
          </w:tcPr>
          <w:p w:rsidR="009567F3" w:rsidRDefault="007E6E9F">
            <w:pPr>
              <w:pStyle w:val="TableParagraph"/>
              <w:spacing w:before="1"/>
              <w:ind w:left="0" w:right="492"/>
              <w:jc w:val="right"/>
              <w:rPr>
                <w:sz w:val="18"/>
              </w:rPr>
            </w:pPr>
            <w:r>
              <w:rPr>
                <w:sz w:val="18"/>
              </w:rPr>
              <w:t>-17.50</w:t>
            </w:r>
          </w:p>
        </w:tc>
        <w:tc>
          <w:tcPr>
            <w:tcW w:w="2070" w:type="dxa"/>
            <w:tcBorders>
              <w:top w:val="single" w:sz="4" w:space="0" w:color="000000"/>
            </w:tcBorders>
          </w:tcPr>
          <w:p w:rsidR="009567F3" w:rsidRDefault="009567F3">
            <w:pPr>
              <w:pStyle w:val="TableParagraph"/>
              <w:spacing w:line="240" w:lineRule="auto"/>
              <w:ind w:left="0"/>
              <w:rPr>
                <w:rFonts w:ascii="Times New Roman"/>
                <w:sz w:val="14"/>
              </w:rPr>
            </w:pPr>
          </w:p>
        </w:tc>
      </w:tr>
      <w:tr w:rsidR="009567F3">
        <w:trPr>
          <w:trHeight w:val="268"/>
        </w:trPr>
        <w:tc>
          <w:tcPr>
            <w:tcW w:w="3180" w:type="dxa"/>
            <w:tcBorders>
              <w:bottom w:val="single" w:sz="8" w:space="0" w:color="000000"/>
            </w:tcBorders>
            <w:shd w:val="clear" w:color="auto" w:fill="D9D9D9"/>
          </w:tcPr>
          <w:p w:rsidR="009567F3" w:rsidRDefault="007E6E9F">
            <w:pPr>
              <w:pStyle w:val="TableParagraph"/>
              <w:spacing w:before="23" w:line="240" w:lineRule="auto"/>
              <w:ind w:left="122"/>
              <w:rPr>
                <w:sz w:val="18"/>
              </w:rPr>
            </w:pPr>
            <w:r>
              <w:rPr>
                <w:sz w:val="18"/>
              </w:rPr>
              <w:t>Cost after HEM Incentive (if applicable)</w:t>
            </w:r>
          </w:p>
        </w:tc>
        <w:tc>
          <w:tcPr>
            <w:tcW w:w="3044" w:type="dxa"/>
            <w:tcBorders>
              <w:bottom w:val="single" w:sz="8" w:space="0" w:color="000000"/>
            </w:tcBorders>
            <w:shd w:val="clear" w:color="auto" w:fill="D9D9D9"/>
          </w:tcPr>
          <w:p w:rsidR="009567F3" w:rsidRDefault="009567F3">
            <w:pPr>
              <w:pStyle w:val="TableParagraph"/>
              <w:spacing w:line="240" w:lineRule="auto"/>
              <w:ind w:left="0"/>
              <w:rPr>
                <w:rFonts w:ascii="Times New Roman"/>
                <w:sz w:val="16"/>
              </w:rPr>
            </w:pPr>
          </w:p>
        </w:tc>
        <w:tc>
          <w:tcPr>
            <w:tcW w:w="2686" w:type="dxa"/>
            <w:tcBorders>
              <w:bottom w:val="single" w:sz="8" w:space="0" w:color="000000"/>
            </w:tcBorders>
            <w:shd w:val="clear" w:color="auto" w:fill="D9D9D9"/>
          </w:tcPr>
          <w:p w:rsidR="009567F3" w:rsidRDefault="00E173A1">
            <w:pPr>
              <w:pStyle w:val="TableParagraph"/>
              <w:spacing w:before="49"/>
              <w:ind w:left="0" w:right="492"/>
              <w:jc w:val="right"/>
              <w:rPr>
                <w:b/>
                <w:sz w:val="18"/>
              </w:rPr>
            </w:pPr>
            <w:r>
              <w:rPr>
                <w:b/>
                <w:sz w:val="18"/>
              </w:rPr>
              <w:t>72.35</w:t>
            </w:r>
          </w:p>
        </w:tc>
        <w:tc>
          <w:tcPr>
            <w:tcW w:w="2070" w:type="dxa"/>
            <w:tcBorders>
              <w:bottom w:val="single" w:sz="8" w:space="0" w:color="000000"/>
            </w:tcBorders>
            <w:shd w:val="clear" w:color="auto" w:fill="D9D9D9"/>
          </w:tcPr>
          <w:p w:rsidR="009567F3" w:rsidRDefault="009567F3">
            <w:pPr>
              <w:pStyle w:val="TableParagraph"/>
              <w:spacing w:line="240" w:lineRule="auto"/>
              <w:ind w:left="0"/>
              <w:rPr>
                <w:rFonts w:ascii="Times New Roman"/>
                <w:sz w:val="16"/>
              </w:rPr>
            </w:pPr>
          </w:p>
        </w:tc>
      </w:tr>
    </w:tbl>
    <w:p w:rsidR="009567F3" w:rsidRDefault="009567F3">
      <w:pPr>
        <w:rPr>
          <w:rFonts w:ascii="Times New Roman"/>
          <w:sz w:val="16"/>
        </w:rPr>
        <w:sectPr w:rsidR="009567F3">
          <w:headerReference w:type="default" r:id="rId10"/>
          <w:footerReference w:type="default" r:id="rId11"/>
          <w:pgSz w:w="12240" w:h="15840"/>
          <w:pgMar w:top="1340" w:right="240" w:bottom="940" w:left="180" w:header="1160" w:footer="760" w:gutter="0"/>
          <w:pgNumType w:start="2"/>
          <w:cols w:space="720"/>
        </w:sectPr>
      </w:pPr>
    </w:p>
    <w:p w:rsidR="009567F3" w:rsidRDefault="00E93048">
      <w:pPr>
        <w:pStyle w:val="BodyText"/>
        <w:spacing w:before="3"/>
        <w:rPr>
          <w:sz w:val="16"/>
        </w:rPr>
      </w:pPr>
      <w:r>
        <w:rPr>
          <w:noProof/>
          <w:sz w:val="16"/>
        </w:rPr>
        <w:lastRenderedPageBreak/>
        <w:pict>
          <v:shape id="_x0000_s1042" type="#_x0000_t202" style="position:absolute;margin-left:168.75pt;margin-top:-19.75pt;width:391.5pt;height:16.5pt;z-index:251669504" stroked="f">
            <v:textbox>
              <w:txbxContent>
                <w:p w:rsidR="00835D47" w:rsidRDefault="00835D47">
                  <w:r>
                    <w:rPr>
                      <w:rFonts w:ascii="Verdana"/>
                      <w:sz w:val="16"/>
                    </w:rPr>
                    <w:t>Office of Human Resources, Employee Benefits, IH 209 541-962-3087</w:t>
                  </w:r>
                </w:p>
              </w:txbxContent>
            </v:textbox>
          </v:shape>
        </w:pict>
      </w:r>
    </w:p>
    <w:p w:rsidR="009567F3" w:rsidRDefault="007E6E9F">
      <w:pPr>
        <w:pStyle w:val="Heading1"/>
        <w:spacing w:before="64"/>
        <w:rPr>
          <w:u w:val="none"/>
        </w:rPr>
      </w:pPr>
      <w:r>
        <w:t>PEBB Health Engagement Model (HEM) Incentive and Cost Containment Surcharges</w:t>
      </w:r>
    </w:p>
    <w:p w:rsidR="009567F3" w:rsidRDefault="009567F3">
      <w:pPr>
        <w:pStyle w:val="BodyText"/>
        <w:spacing w:before="9"/>
        <w:rPr>
          <w:b/>
          <w:sz w:val="13"/>
        </w:rPr>
      </w:pPr>
    </w:p>
    <w:p w:rsidR="009567F3" w:rsidRDefault="007E6E9F">
      <w:pPr>
        <w:pStyle w:val="BodyText"/>
        <w:spacing w:before="63"/>
        <w:ind w:left="540" w:right="536"/>
      </w:pPr>
      <w:r>
        <w:t>PEBB has three health care and cost containment programs for the 202</w:t>
      </w:r>
      <w:r w:rsidR="006F3C56">
        <w:t>3</w:t>
      </w:r>
      <w:r>
        <w:t xml:space="preserve"> plan year. If you enroll in a medical plan, your participation status in each of these programs will determine if there is any additional cost and/or cashback incentive.</w:t>
      </w:r>
    </w:p>
    <w:p w:rsidR="009567F3" w:rsidRDefault="007E6E9F">
      <w:pPr>
        <w:pStyle w:val="ListParagraph"/>
        <w:numPr>
          <w:ilvl w:val="0"/>
          <w:numId w:val="1"/>
        </w:numPr>
        <w:tabs>
          <w:tab w:val="left" w:pos="1260"/>
          <w:tab w:val="left" w:pos="1261"/>
        </w:tabs>
        <w:ind w:right="537"/>
        <w:rPr>
          <w:sz w:val="18"/>
        </w:rPr>
      </w:pPr>
      <w:r>
        <w:rPr>
          <w:b/>
          <w:sz w:val="18"/>
        </w:rPr>
        <w:t xml:space="preserve">Health Engagement Model (HEM): </w:t>
      </w:r>
      <w:r>
        <w:rPr>
          <w:sz w:val="18"/>
        </w:rPr>
        <w:t xml:space="preserve">Available only to employees with active coverage as of </w:t>
      </w:r>
      <w:r w:rsidR="006F3C56">
        <w:rPr>
          <w:sz w:val="18"/>
        </w:rPr>
        <w:t>September 2022</w:t>
      </w:r>
      <w:r>
        <w:rPr>
          <w:sz w:val="18"/>
        </w:rPr>
        <w:t>. Participating employees will receive a monthly cashback incentive. This incentive shows as a “negative” deduction, which results in cashback to the</w:t>
      </w:r>
      <w:r>
        <w:rPr>
          <w:spacing w:val="-23"/>
          <w:sz w:val="18"/>
        </w:rPr>
        <w:t xml:space="preserve"> </w:t>
      </w:r>
      <w:r>
        <w:rPr>
          <w:sz w:val="18"/>
        </w:rPr>
        <w:t>employee.</w:t>
      </w:r>
    </w:p>
    <w:p w:rsidR="009567F3" w:rsidRDefault="007E6E9F">
      <w:pPr>
        <w:pStyle w:val="ListParagraph"/>
        <w:numPr>
          <w:ilvl w:val="0"/>
          <w:numId w:val="1"/>
        </w:numPr>
        <w:tabs>
          <w:tab w:val="left" w:pos="1260"/>
          <w:tab w:val="left" w:pos="1261"/>
        </w:tabs>
        <w:spacing w:line="229" w:lineRule="exact"/>
        <w:rPr>
          <w:sz w:val="18"/>
        </w:rPr>
      </w:pPr>
      <w:r>
        <w:rPr>
          <w:b/>
          <w:sz w:val="18"/>
        </w:rPr>
        <w:t xml:space="preserve">Tobacco Use: </w:t>
      </w:r>
      <w:r>
        <w:rPr>
          <w:sz w:val="18"/>
        </w:rPr>
        <w:t xml:space="preserve">A surcharge is assessed based on </w:t>
      </w:r>
      <w:proofErr w:type="spellStart"/>
      <w:r>
        <w:rPr>
          <w:sz w:val="18"/>
        </w:rPr>
        <w:t>your</w:t>
      </w:r>
      <w:proofErr w:type="spellEnd"/>
      <w:r>
        <w:rPr>
          <w:sz w:val="18"/>
        </w:rPr>
        <w:t xml:space="preserve"> and your enrolled spouse/domestic partner’s tobacco</w:t>
      </w:r>
      <w:r>
        <w:rPr>
          <w:spacing w:val="-9"/>
          <w:sz w:val="18"/>
        </w:rPr>
        <w:t xml:space="preserve"> </w:t>
      </w:r>
      <w:r>
        <w:rPr>
          <w:sz w:val="18"/>
        </w:rPr>
        <w:t>use.</w:t>
      </w:r>
    </w:p>
    <w:p w:rsidR="009567F3" w:rsidRDefault="007E6E9F">
      <w:pPr>
        <w:pStyle w:val="ListParagraph"/>
        <w:numPr>
          <w:ilvl w:val="0"/>
          <w:numId w:val="1"/>
        </w:numPr>
        <w:tabs>
          <w:tab w:val="left" w:pos="1260"/>
          <w:tab w:val="left" w:pos="1261"/>
        </w:tabs>
        <w:spacing w:before="1"/>
        <w:ind w:right="752"/>
        <w:rPr>
          <w:sz w:val="18"/>
        </w:rPr>
      </w:pPr>
      <w:r>
        <w:rPr>
          <w:b/>
          <w:sz w:val="18"/>
        </w:rPr>
        <w:t>Spouse/Domestic</w:t>
      </w:r>
      <w:r>
        <w:rPr>
          <w:b/>
          <w:spacing w:val="-4"/>
          <w:sz w:val="18"/>
        </w:rPr>
        <w:t xml:space="preserve"> </w:t>
      </w:r>
      <w:r>
        <w:rPr>
          <w:b/>
          <w:sz w:val="18"/>
        </w:rPr>
        <w:t>Partner</w:t>
      </w:r>
      <w:r>
        <w:rPr>
          <w:b/>
          <w:spacing w:val="-2"/>
          <w:sz w:val="18"/>
        </w:rPr>
        <w:t xml:space="preserve"> </w:t>
      </w:r>
      <w:r>
        <w:rPr>
          <w:b/>
          <w:sz w:val="18"/>
        </w:rPr>
        <w:t>Other</w:t>
      </w:r>
      <w:r>
        <w:rPr>
          <w:b/>
          <w:spacing w:val="-2"/>
          <w:sz w:val="18"/>
        </w:rPr>
        <w:t xml:space="preserve"> </w:t>
      </w:r>
      <w:r>
        <w:rPr>
          <w:b/>
          <w:sz w:val="18"/>
        </w:rPr>
        <w:t>Non-PEBB</w:t>
      </w:r>
      <w:r>
        <w:rPr>
          <w:b/>
          <w:spacing w:val="-3"/>
          <w:sz w:val="18"/>
        </w:rPr>
        <w:t xml:space="preserve"> </w:t>
      </w:r>
      <w:r>
        <w:rPr>
          <w:b/>
          <w:sz w:val="18"/>
        </w:rPr>
        <w:t>Employer</w:t>
      </w:r>
      <w:r>
        <w:rPr>
          <w:b/>
          <w:spacing w:val="-2"/>
          <w:sz w:val="18"/>
        </w:rPr>
        <w:t xml:space="preserve"> </w:t>
      </w:r>
      <w:r>
        <w:rPr>
          <w:b/>
          <w:sz w:val="18"/>
        </w:rPr>
        <w:t xml:space="preserve">Coverage: </w:t>
      </w:r>
      <w:r>
        <w:rPr>
          <w:sz w:val="18"/>
        </w:rPr>
        <w:t>A</w:t>
      </w:r>
      <w:r>
        <w:rPr>
          <w:spacing w:val="-6"/>
          <w:sz w:val="18"/>
        </w:rPr>
        <w:t xml:space="preserve"> </w:t>
      </w:r>
      <w:r>
        <w:rPr>
          <w:sz w:val="18"/>
        </w:rPr>
        <w:t>surcharge</w:t>
      </w:r>
      <w:r>
        <w:rPr>
          <w:spacing w:val="-3"/>
          <w:sz w:val="18"/>
        </w:rPr>
        <w:t xml:space="preserve"> </w:t>
      </w:r>
      <w:r>
        <w:rPr>
          <w:sz w:val="18"/>
        </w:rPr>
        <w:t>is</w:t>
      </w:r>
      <w:r>
        <w:rPr>
          <w:spacing w:val="-5"/>
          <w:sz w:val="18"/>
        </w:rPr>
        <w:t xml:space="preserve"> </w:t>
      </w:r>
      <w:r>
        <w:rPr>
          <w:sz w:val="18"/>
        </w:rPr>
        <w:t>assessed</w:t>
      </w:r>
      <w:r>
        <w:rPr>
          <w:spacing w:val="-1"/>
          <w:sz w:val="18"/>
        </w:rPr>
        <w:t xml:space="preserve"> </w:t>
      </w:r>
      <w:r>
        <w:rPr>
          <w:sz w:val="18"/>
        </w:rPr>
        <w:t>if</w:t>
      </w:r>
      <w:r>
        <w:rPr>
          <w:spacing w:val="-3"/>
          <w:sz w:val="18"/>
        </w:rPr>
        <w:t xml:space="preserve"> </w:t>
      </w:r>
      <w:r>
        <w:rPr>
          <w:sz w:val="18"/>
        </w:rPr>
        <w:t>your</w:t>
      </w:r>
      <w:r>
        <w:rPr>
          <w:spacing w:val="-2"/>
          <w:sz w:val="18"/>
        </w:rPr>
        <w:t xml:space="preserve"> </w:t>
      </w:r>
      <w:r>
        <w:rPr>
          <w:sz w:val="18"/>
        </w:rPr>
        <w:t>enrolled</w:t>
      </w:r>
      <w:r>
        <w:rPr>
          <w:spacing w:val="-4"/>
          <w:sz w:val="18"/>
        </w:rPr>
        <w:t xml:space="preserve"> </w:t>
      </w:r>
      <w:r>
        <w:rPr>
          <w:sz w:val="18"/>
        </w:rPr>
        <w:t>spouse/domestic</w:t>
      </w:r>
      <w:r>
        <w:rPr>
          <w:spacing w:val="-2"/>
          <w:sz w:val="18"/>
        </w:rPr>
        <w:t xml:space="preserve"> </w:t>
      </w:r>
      <w:r>
        <w:rPr>
          <w:sz w:val="18"/>
        </w:rPr>
        <w:t>partner</w:t>
      </w:r>
      <w:r>
        <w:rPr>
          <w:spacing w:val="-2"/>
          <w:sz w:val="18"/>
        </w:rPr>
        <w:t xml:space="preserve"> </w:t>
      </w:r>
      <w:r>
        <w:rPr>
          <w:sz w:val="18"/>
        </w:rPr>
        <w:t>has other employer group coverage available and does not enroll in that</w:t>
      </w:r>
      <w:r>
        <w:rPr>
          <w:spacing w:val="-3"/>
          <w:sz w:val="18"/>
        </w:rPr>
        <w:t xml:space="preserve"> </w:t>
      </w:r>
      <w:r>
        <w:rPr>
          <w:sz w:val="18"/>
        </w:rPr>
        <w:t>coverage.</w:t>
      </w:r>
    </w:p>
    <w:p w:rsidR="009567F3" w:rsidRDefault="009567F3">
      <w:pPr>
        <w:pStyle w:val="BodyText"/>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7"/>
        <w:gridCol w:w="3438"/>
        <w:gridCol w:w="4688"/>
      </w:tblGrid>
      <w:tr w:rsidR="009567F3">
        <w:trPr>
          <w:trHeight w:val="220"/>
        </w:trPr>
        <w:tc>
          <w:tcPr>
            <w:tcW w:w="2667" w:type="dxa"/>
            <w:shd w:val="clear" w:color="auto" w:fill="D9D9D9"/>
          </w:tcPr>
          <w:p w:rsidR="009567F3" w:rsidRDefault="007E6E9F">
            <w:pPr>
              <w:pStyle w:val="TableParagraph"/>
              <w:spacing w:before="1"/>
              <w:rPr>
                <w:sz w:val="18"/>
              </w:rPr>
            </w:pPr>
            <w:r>
              <w:rPr>
                <w:sz w:val="18"/>
              </w:rPr>
              <w:t>Deduction Code</w:t>
            </w:r>
          </w:p>
        </w:tc>
        <w:tc>
          <w:tcPr>
            <w:tcW w:w="3438" w:type="dxa"/>
            <w:shd w:val="clear" w:color="auto" w:fill="D9D9D9"/>
          </w:tcPr>
          <w:p w:rsidR="009567F3" w:rsidRDefault="007E6E9F">
            <w:pPr>
              <w:pStyle w:val="TableParagraph"/>
              <w:spacing w:before="1"/>
              <w:rPr>
                <w:sz w:val="18"/>
              </w:rPr>
            </w:pPr>
            <w:r>
              <w:rPr>
                <w:sz w:val="18"/>
              </w:rPr>
              <w:t>Description</w:t>
            </w:r>
          </w:p>
        </w:tc>
        <w:tc>
          <w:tcPr>
            <w:tcW w:w="4688" w:type="dxa"/>
            <w:shd w:val="clear" w:color="auto" w:fill="D9D9D9"/>
          </w:tcPr>
          <w:p w:rsidR="009567F3" w:rsidRDefault="007E6E9F">
            <w:pPr>
              <w:pStyle w:val="TableParagraph"/>
              <w:spacing w:before="1"/>
              <w:rPr>
                <w:sz w:val="18"/>
              </w:rPr>
            </w:pPr>
            <w:r>
              <w:rPr>
                <w:sz w:val="18"/>
              </w:rPr>
              <w:t>Amount</w:t>
            </w:r>
          </w:p>
        </w:tc>
      </w:tr>
      <w:tr w:rsidR="009567F3">
        <w:trPr>
          <w:trHeight w:val="438"/>
        </w:trPr>
        <w:tc>
          <w:tcPr>
            <w:tcW w:w="2667" w:type="dxa"/>
          </w:tcPr>
          <w:p w:rsidR="009567F3" w:rsidRDefault="007E6E9F">
            <w:pPr>
              <w:pStyle w:val="TableParagraph"/>
              <w:spacing w:line="219" w:lineRule="exact"/>
              <w:rPr>
                <w:sz w:val="18"/>
              </w:rPr>
            </w:pPr>
            <w:r>
              <w:rPr>
                <w:sz w:val="18"/>
              </w:rPr>
              <w:t>PIH</w:t>
            </w:r>
          </w:p>
        </w:tc>
        <w:tc>
          <w:tcPr>
            <w:tcW w:w="3438" w:type="dxa"/>
          </w:tcPr>
          <w:p w:rsidR="009567F3" w:rsidRDefault="007E6E9F">
            <w:pPr>
              <w:pStyle w:val="TableParagraph"/>
              <w:spacing w:line="219" w:lineRule="exact"/>
              <w:rPr>
                <w:sz w:val="18"/>
              </w:rPr>
            </w:pPr>
            <w:r>
              <w:rPr>
                <w:sz w:val="18"/>
              </w:rPr>
              <w:t>PEBB, Incentive for HEM</w:t>
            </w:r>
          </w:p>
        </w:tc>
        <w:tc>
          <w:tcPr>
            <w:tcW w:w="4688" w:type="dxa"/>
          </w:tcPr>
          <w:p w:rsidR="009567F3" w:rsidRDefault="007E6E9F">
            <w:pPr>
              <w:pStyle w:val="TableParagraph"/>
              <w:spacing w:line="219" w:lineRule="exact"/>
              <w:rPr>
                <w:sz w:val="18"/>
              </w:rPr>
            </w:pPr>
            <w:r>
              <w:rPr>
                <w:sz w:val="18"/>
              </w:rPr>
              <w:t>-17.50 employee</w:t>
            </w:r>
          </w:p>
        </w:tc>
      </w:tr>
      <w:tr w:rsidR="009567F3">
        <w:trPr>
          <w:trHeight w:val="438"/>
        </w:trPr>
        <w:tc>
          <w:tcPr>
            <w:tcW w:w="2667" w:type="dxa"/>
          </w:tcPr>
          <w:p w:rsidR="009567F3" w:rsidRDefault="007E6E9F">
            <w:pPr>
              <w:pStyle w:val="TableParagraph"/>
              <w:spacing w:before="1" w:line="240" w:lineRule="auto"/>
              <w:rPr>
                <w:sz w:val="18"/>
              </w:rPr>
            </w:pPr>
            <w:r>
              <w:rPr>
                <w:sz w:val="18"/>
              </w:rPr>
              <w:t>PTS</w:t>
            </w:r>
          </w:p>
        </w:tc>
        <w:tc>
          <w:tcPr>
            <w:tcW w:w="3438" w:type="dxa"/>
          </w:tcPr>
          <w:p w:rsidR="009567F3" w:rsidRDefault="007E6E9F">
            <w:pPr>
              <w:pStyle w:val="TableParagraph"/>
              <w:spacing w:before="1" w:line="240" w:lineRule="auto"/>
              <w:rPr>
                <w:sz w:val="18"/>
              </w:rPr>
            </w:pPr>
            <w:r>
              <w:rPr>
                <w:sz w:val="18"/>
              </w:rPr>
              <w:t>PEBB Tobacco Surcharge Pre-Tax</w:t>
            </w:r>
          </w:p>
        </w:tc>
        <w:tc>
          <w:tcPr>
            <w:tcW w:w="4688" w:type="dxa"/>
          </w:tcPr>
          <w:p w:rsidR="009567F3" w:rsidRDefault="007E6E9F">
            <w:pPr>
              <w:pStyle w:val="TableParagraph"/>
              <w:spacing w:before="1" w:line="219" w:lineRule="exact"/>
              <w:rPr>
                <w:sz w:val="18"/>
              </w:rPr>
            </w:pPr>
            <w:r>
              <w:rPr>
                <w:sz w:val="18"/>
              </w:rPr>
              <w:t>25.00 employee or spouse/domestic partner only</w:t>
            </w:r>
          </w:p>
          <w:p w:rsidR="009567F3" w:rsidRDefault="007E6E9F">
            <w:pPr>
              <w:pStyle w:val="TableParagraph"/>
              <w:rPr>
                <w:sz w:val="18"/>
              </w:rPr>
            </w:pPr>
            <w:r>
              <w:rPr>
                <w:sz w:val="18"/>
              </w:rPr>
              <w:t>50.00 employee + spouse/domestic partner</w:t>
            </w:r>
          </w:p>
        </w:tc>
      </w:tr>
      <w:tr w:rsidR="009567F3">
        <w:trPr>
          <w:trHeight w:val="220"/>
        </w:trPr>
        <w:tc>
          <w:tcPr>
            <w:tcW w:w="2667" w:type="dxa"/>
          </w:tcPr>
          <w:p w:rsidR="009567F3" w:rsidRDefault="007E6E9F">
            <w:pPr>
              <w:pStyle w:val="TableParagraph"/>
              <w:spacing w:before="1" w:line="200" w:lineRule="exact"/>
              <w:rPr>
                <w:sz w:val="18"/>
              </w:rPr>
            </w:pPr>
            <w:r>
              <w:rPr>
                <w:sz w:val="18"/>
              </w:rPr>
              <w:t>POS</w:t>
            </w:r>
          </w:p>
        </w:tc>
        <w:tc>
          <w:tcPr>
            <w:tcW w:w="3438" w:type="dxa"/>
          </w:tcPr>
          <w:p w:rsidR="009567F3" w:rsidRDefault="007E6E9F">
            <w:pPr>
              <w:pStyle w:val="TableParagraph"/>
              <w:spacing w:before="1" w:line="200" w:lineRule="exact"/>
              <w:rPr>
                <w:sz w:val="18"/>
              </w:rPr>
            </w:pPr>
            <w:r>
              <w:rPr>
                <w:sz w:val="18"/>
              </w:rPr>
              <w:t xml:space="preserve">PEBB Other </w:t>
            </w:r>
            <w:proofErr w:type="spellStart"/>
            <w:r>
              <w:rPr>
                <w:sz w:val="18"/>
              </w:rPr>
              <w:t>Cvg</w:t>
            </w:r>
            <w:proofErr w:type="spellEnd"/>
            <w:r>
              <w:rPr>
                <w:sz w:val="18"/>
              </w:rPr>
              <w:t xml:space="preserve"> </w:t>
            </w:r>
            <w:proofErr w:type="spellStart"/>
            <w:r>
              <w:rPr>
                <w:sz w:val="18"/>
              </w:rPr>
              <w:t>Surchg</w:t>
            </w:r>
            <w:proofErr w:type="spellEnd"/>
            <w:r>
              <w:rPr>
                <w:sz w:val="18"/>
              </w:rPr>
              <w:t xml:space="preserve"> Pre-Tax</w:t>
            </w:r>
          </w:p>
        </w:tc>
        <w:tc>
          <w:tcPr>
            <w:tcW w:w="4688" w:type="dxa"/>
          </w:tcPr>
          <w:p w:rsidR="009567F3" w:rsidRDefault="007E6E9F">
            <w:pPr>
              <w:pStyle w:val="TableParagraph"/>
              <w:spacing w:before="1" w:line="200" w:lineRule="exact"/>
              <w:rPr>
                <w:sz w:val="18"/>
              </w:rPr>
            </w:pPr>
            <w:r>
              <w:rPr>
                <w:sz w:val="18"/>
              </w:rPr>
              <w:t>50.00</w:t>
            </w:r>
          </w:p>
        </w:tc>
      </w:tr>
    </w:tbl>
    <w:p w:rsidR="009567F3" w:rsidRDefault="009567F3">
      <w:pPr>
        <w:pStyle w:val="BodyText"/>
      </w:pPr>
    </w:p>
    <w:p w:rsidR="009567F3" w:rsidRDefault="009567F3">
      <w:pPr>
        <w:pStyle w:val="BodyText"/>
        <w:spacing w:before="1"/>
      </w:pPr>
    </w:p>
    <w:p w:rsidR="009567F3" w:rsidRDefault="007E6E9F">
      <w:pPr>
        <w:pStyle w:val="Heading1"/>
        <w:rPr>
          <w:u w:val="none"/>
        </w:rPr>
      </w:pPr>
      <w:r>
        <w:t>Pension &amp; Voluntary Retirement Deductions</w:t>
      </w:r>
    </w:p>
    <w:p w:rsidR="009567F3" w:rsidRDefault="007E6E9F">
      <w:pPr>
        <w:pStyle w:val="BodyText"/>
        <w:ind w:left="539" w:right="514"/>
      </w:pPr>
      <w:r>
        <w:t xml:space="preserve">Employees may be eligible for pension contributions, paid for by EOU, if they meet the pension eligibility requirements. For additional information on eligibility, please visit the EOU website at </w:t>
      </w:r>
      <w:hyperlink r:id="rId12" w:history="1">
        <w:r w:rsidRPr="007E6E9F">
          <w:rPr>
            <w:rStyle w:val="Hyperlink"/>
          </w:rPr>
          <w:t>https://www.eou.edu/hr/retirement/</w:t>
        </w:r>
      </w:hyperlink>
      <w:r>
        <w:t>. Eligible classified employees are automatically enrolled in Public Employees Retirement System (PERS)/Oregon Public Service Retirement Plan (OPSRP). Unclassified employees are given a one-time irrevocable choice between PERS/OPSRP and the Optional Retirement Plan (ORP). Eligible employees receive an employee contribution, paid for by EOU which appears in the deductions section under the “Employer” column (as they are funded by the employer and are not a deduction from your pay). The PERS/OPSRP deduction codes start with “R0” for PERS/OPSRP members and the ORP deduction codes begin with “R1” through “R3” for ORP members. EOU also pays an Employer a contribution, which does not appear on your statement. The Employer portion is used in the PERS/OPSRP system to fund the pension benefit for retiring employees. In the ORP program, the Employer contribution is reflected on the</w:t>
      </w:r>
    </w:p>
    <w:p w:rsidR="009567F3" w:rsidRDefault="007E6E9F">
      <w:pPr>
        <w:pStyle w:val="BodyText"/>
        <w:ind w:left="540"/>
      </w:pPr>
      <w:r>
        <w:t>employee’s ORP statement. The Employer contribution is subject to vesting rules for both the ORP and PERS/OPSRP programs.</w:t>
      </w:r>
    </w:p>
    <w:p w:rsidR="009567F3" w:rsidRDefault="009567F3">
      <w:pPr>
        <w:pStyle w:val="BodyText"/>
      </w:pPr>
    </w:p>
    <w:p w:rsidR="009567F3" w:rsidRDefault="007E6E9F">
      <w:pPr>
        <w:pStyle w:val="BodyText"/>
        <w:ind w:left="540" w:right="559"/>
      </w:pPr>
      <w:r>
        <w:t>Employees may also enroll in additional voluntary retirement savings through either the Tax-Deferred Investment 403(b) Plan or the Oregon Savings Growth (457) plan. These deductions will appear with deduction codes beginning with “S”.</w:t>
      </w:r>
    </w:p>
    <w:p w:rsidR="009567F3" w:rsidRDefault="009567F3">
      <w:pPr>
        <w:pStyle w:val="BodyText"/>
        <w:spacing w:before="1"/>
      </w:pPr>
    </w:p>
    <w:p w:rsidR="009567F3" w:rsidRDefault="007E6E9F">
      <w:pPr>
        <w:pStyle w:val="Heading1"/>
        <w:spacing w:line="219" w:lineRule="exact"/>
        <w:rPr>
          <w:u w:val="none"/>
        </w:rPr>
      </w:pPr>
      <w:r>
        <w:t>Workers’ Compensation</w:t>
      </w:r>
    </w:p>
    <w:p w:rsidR="009567F3" w:rsidRDefault="007E6E9F">
      <w:pPr>
        <w:pStyle w:val="BodyText"/>
        <w:ind w:left="540" w:right="537"/>
        <w:jc w:val="both"/>
      </w:pPr>
      <w:r>
        <w:t>Workers’ compensation insurance provides benefits for workers who are injured as a result of work. Employees are required to pay an assessment by payroll deduction for each full or partial hour of work. The basis for determining the assessment is the number of hours worked. This deduction is shown on your earnings statement as deduction code “TWC”.</w:t>
      </w:r>
    </w:p>
    <w:p w:rsidR="009567F3" w:rsidRDefault="009567F3">
      <w:pPr>
        <w:pStyle w:val="BodyText"/>
        <w:spacing w:before="10"/>
        <w:rPr>
          <w:sz w:val="17"/>
        </w:rPr>
      </w:pPr>
    </w:p>
    <w:p w:rsidR="009567F3" w:rsidRDefault="007E6E9F">
      <w:pPr>
        <w:pStyle w:val="Heading1"/>
        <w:spacing w:before="1"/>
        <w:jc w:val="both"/>
        <w:rPr>
          <w:u w:val="none"/>
        </w:rPr>
      </w:pPr>
      <w:r>
        <w:t>State &amp; Federal Income Tax Withholding</w:t>
      </w:r>
    </w:p>
    <w:p w:rsidR="009567F3" w:rsidRDefault="007E6E9F">
      <w:pPr>
        <w:pStyle w:val="BodyText"/>
        <w:ind w:left="540" w:right="585"/>
        <w:jc w:val="both"/>
      </w:pPr>
      <w:r>
        <w:t>Deductions</w:t>
      </w:r>
      <w:r>
        <w:rPr>
          <w:spacing w:val="-3"/>
        </w:rPr>
        <w:t xml:space="preserve"> </w:t>
      </w:r>
      <w:r>
        <w:t>are</w:t>
      </w:r>
      <w:r>
        <w:rPr>
          <w:spacing w:val="-3"/>
        </w:rPr>
        <w:t xml:space="preserve"> </w:t>
      </w:r>
      <w:r>
        <w:t>determined</w:t>
      </w:r>
      <w:r>
        <w:rPr>
          <w:spacing w:val="-2"/>
        </w:rPr>
        <w:t xml:space="preserve"> </w:t>
      </w:r>
      <w:r>
        <w:t>by</w:t>
      </w:r>
      <w:r>
        <w:rPr>
          <w:spacing w:val="-2"/>
        </w:rPr>
        <w:t xml:space="preserve"> </w:t>
      </w:r>
      <w:r>
        <w:t>filing</w:t>
      </w:r>
      <w:r>
        <w:rPr>
          <w:spacing w:val="-2"/>
        </w:rPr>
        <w:t xml:space="preserve"> </w:t>
      </w:r>
      <w:r>
        <w:t>status</w:t>
      </w:r>
      <w:r>
        <w:rPr>
          <w:spacing w:val="-3"/>
        </w:rPr>
        <w:t xml:space="preserve"> </w:t>
      </w:r>
      <w:r>
        <w:t>provided by</w:t>
      </w:r>
      <w:r>
        <w:rPr>
          <w:spacing w:val="-2"/>
        </w:rPr>
        <w:t xml:space="preserve"> </w:t>
      </w:r>
      <w:r>
        <w:t>the employee</w:t>
      </w:r>
      <w:r>
        <w:rPr>
          <w:spacing w:val="-3"/>
        </w:rPr>
        <w:t xml:space="preserve"> </w:t>
      </w:r>
      <w:r>
        <w:t>on</w:t>
      </w:r>
      <w:r>
        <w:rPr>
          <w:spacing w:val="-3"/>
        </w:rPr>
        <w:t xml:space="preserve"> </w:t>
      </w:r>
      <w:r>
        <w:t>their</w:t>
      </w:r>
      <w:r>
        <w:rPr>
          <w:spacing w:val="-1"/>
        </w:rPr>
        <w:t xml:space="preserve"> </w:t>
      </w:r>
      <w:r>
        <w:t>W-4.</w:t>
      </w:r>
      <w:r>
        <w:rPr>
          <w:spacing w:val="-2"/>
        </w:rPr>
        <w:t xml:space="preserve"> </w:t>
      </w:r>
      <w:r>
        <w:t>If</w:t>
      </w:r>
      <w:r>
        <w:rPr>
          <w:spacing w:val="-1"/>
        </w:rPr>
        <w:t xml:space="preserve"> </w:t>
      </w:r>
      <w:r>
        <w:t>no</w:t>
      </w:r>
      <w:r>
        <w:rPr>
          <w:spacing w:val="-2"/>
        </w:rPr>
        <w:t xml:space="preserve"> </w:t>
      </w:r>
      <w:r>
        <w:t>W-4</w:t>
      </w:r>
      <w:r>
        <w:rPr>
          <w:spacing w:val="-1"/>
        </w:rPr>
        <w:t xml:space="preserve"> </w:t>
      </w:r>
      <w:r>
        <w:t>is</w:t>
      </w:r>
      <w:r>
        <w:rPr>
          <w:spacing w:val="-3"/>
        </w:rPr>
        <w:t xml:space="preserve"> </w:t>
      </w:r>
      <w:r>
        <w:t>filed,</w:t>
      </w:r>
      <w:r>
        <w:rPr>
          <w:spacing w:val="-1"/>
        </w:rPr>
        <w:t xml:space="preserve"> </w:t>
      </w:r>
      <w:r>
        <w:t>employee’s</w:t>
      </w:r>
      <w:r>
        <w:rPr>
          <w:spacing w:val="-3"/>
        </w:rPr>
        <w:t xml:space="preserve"> </w:t>
      </w:r>
      <w:r>
        <w:t>withholding</w:t>
      </w:r>
      <w:r>
        <w:rPr>
          <w:spacing w:val="-3"/>
        </w:rPr>
        <w:t xml:space="preserve"> </w:t>
      </w:r>
      <w:r>
        <w:t>is</w:t>
      </w:r>
      <w:r>
        <w:rPr>
          <w:spacing w:val="-3"/>
        </w:rPr>
        <w:t xml:space="preserve"> </w:t>
      </w:r>
      <w:r>
        <w:t>based</w:t>
      </w:r>
      <w:r>
        <w:rPr>
          <w:spacing w:val="-3"/>
        </w:rPr>
        <w:t xml:space="preserve"> </w:t>
      </w:r>
      <w:r>
        <w:t>on</w:t>
      </w:r>
      <w:r>
        <w:rPr>
          <w:spacing w:val="-2"/>
        </w:rPr>
        <w:t xml:space="preserve"> </w:t>
      </w:r>
      <w:r>
        <w:t>a</w:t>
      </w:r>
      <w:r>
        <w:rPr>
          <w:spacing w:val="-3"/>
        </w:rPr>
        <w:t xml:space="preserve"> </w:t>
      </w:r>
      <w:r>
        <w:t>default of single status with zero dependents. Withholding is determined by formulas provided by Federal and State</w:t>
      </w:r>
      <w:r>
        <w:rPr>
          <w:spacing w:val="-14"/>
        </w:rPr>
        <w:t xml:space="preserve"> </w:t>
      </w:r>
      <w:r>
        <w:t>governments.</w:t>
      </w:r>
    </w:p>
    <w:p w:rsidR="009567F3" w:rsidRDefault="009567F3">
      <w:pPr>
        <w:pStyle w:val="BodyText"/>
        <w:spacing w:before="1"/>
      </w:pPr>
    </w:p>
    <w:p w:rsidR="009567F3" w:rsidRDefault="007E6E9F">
      <w:pPr>
        <w:pStyle w:val="Heading1"/>
        <w:ind w:left="539"/>
        <w:rPr>
          <w:u w:val="none"/>
        </w:rPr>
      </w:pPr>
      <w:r>
        <w:t>Social Security &amp; Medicare Tax</w:t>
      </w:r>
    </w:p>
    <w:p w:rsidR="009567F3" w:rsidRDefault="007E6E9F">
      <w:pPr>
        <w:pStyle w:val="BodyText"/>
        <w:ind w:left="540" w:right="497"/>
      </w:pPr>
      <w:r>
        <w:t xml:space="preserve">Deductions for Social Security and Medicare tax are based on certain percentage rates set by the Federal government. Yearly maximums are set for Social Security subject wages. Once the maximum amount has been withheld, no further deduction is taken until the following January. The percentage of Social Security and Medicare tax may differ from year to year. Both the rate sheet and the maximum amounts are available on the online Fact Sheet available at the Social Security website at </w:t>
      </w:r>
      <w:hyperlink r:id="rId13">
        <w:r>
          <w:rPr>
            <w:color w:val="0000FF"/>
            <w:u w:val="single" w:color="0000FF"/>
          </w:rPr>
          <w:t>www.SSA.gov</w:t>
        </w:r>
        <w:r>
          <w:t>.</w:t>
        </w:r>
      </w:hyperlink>
    </w:p>
    <w:sectPr w:rsidR="009567F3">
      <w:pgSz w:w="12240" w:h="15840"/>
      <w:pgMar w:top="1340" w:right="240" w:bottom="940" w:left="180" w:header="1160" w:footer="7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F1D" w:rsidRDefault="007E6E9F">
      <w:r>
        <w:separator/>
      </w:r>
    </w:p>
  </w:endnote>
  <w:endnote w:type="continuationSeparator" w:id="0">
    <w:p w:rsidR="00BA5F1D" w:rsidRDefault="007E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7F3" w:rsidRDefault="00E93048">
    <w:pPr>
      <w:pStyle w:val="BodyText"/>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35pt;margin-top:743pt;width:31.1pt;height:11pt;z-index:-252055552;mso-position-horizontal-relative:page;mso-position-vertical-relative:page" filled="f" stroked="f">
          <v:textbox inset="0,0,0,0">
            <w:txbxContent>
              <w:p w:rsidR="009567F3" w:rsidRDefault="007E6E9F">
                <w:pPr>
                  <w:spacing w:before="15"/>
                  <w:ind w:left="20"/>
                  <w:rPr>
                    <w:rFonts w:ascii="Arial"/>
                    <w:i/>
                    <w:sz w:val="16"/>
                  </w:rPr>
                </w:pPr>
                <w:r>
                  <w:rPr>
                    <w:rFonts w:ascii="Arial"/>
                    <w:i/>
                    <w:sz w:val="16"/>
                  </w:rPr>
                  <w:t>01/2023</w:t>
                </w:r>
              </w:p>
            </w:txbxContent>
          </v:textbox>
          <w10:wrap anchorx="page" anchory="page"/>
        </v:shape>
      </w:pict>
    </w:r>
    <w:r>
      <w:pict>
        <v:shape id="_x0000_s2052" type="#_x0000_t202" style="position:absolute;margin-left:566.4pt;margin-top:743.25pt;width:12.7pt;height:15.45pt;z-index:-252054528;mso-position-horizontal-relative:page;mso-position-vertical-relative:page" filled="f" stroked="f">
          <v:textbox inset="0,0,0,0">
            <w:txbxContent>
              <w:p w:rsidR="009567F3" w:rsidRDefault="007E6E9F">
                <w:pPr>
                  <w:spacing w:before="12"/>
                  <w:ind w:left="60"/>
                  <w:rPr>
                    <w:rFonts w:ascii="Arial"/>
                    <w:sz w:val="24"/>
                  </w:rPr>
                </w:pPr>
                <w:r>
                  <w:fldChar w:fldCharType="begin"/>
                </w:r>
                <w:r>
                  <w:rPr>
                    <w:rFonts w:ascii="Arial"/>
                    <w:w w:val="99"/>
                    <w:sz w:val="24"/>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7F3" w:rsidRDefault="00E93048">
    <w:pPr>
      <w:pStyle w:val="BodyText"/>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5pt;margin-top:743pt;width:30.95pt;height:11pt;z-index:-252052480;mso-position-horizontal-relative:page;mso-position-vertical-relative:page" filled="f" stroked="f">
          <v:textbox inset="0,0,0,0">
            <w:txbxContent>
              <w:p w:rsidR="009567F3" w:rsidRDefault="007E6E9F">
                <w:pPr>
                  <w:spacing w:before="15"/>
                  <w:ind w:left="20"/>
                  <w:rPr>
                    <w:rFonts w:ascii="Arial"/>
                    <w:i/>
                    <w:sz w:val="16"/>
                  </w:rPr>
                </w:pPr>
                <w:r>
                  <w:rPr>
                    <w:rFonts w:ascii="Arial"/>
                    <w:i/>
                    <w:sz w:val="16"/>
                  </w:rPr>
                  <w:t>1</w:t>
                </w:r>
                <w:r w:rsidR="003F1505">
                  <w:rPr>
                    <w:rFonts w:ascii="Arial"/>
                    <w:i/>
                    <w:sz w:val="16"/>
                  </w:rPr>
                  <w:t>/2023</w:t>
                </w:r>
              </w:p>
            </w:txbxContent>
          </v:textbox>
          <w10:wrap anchorx="page" anchory="page"/>
        </v:shape>
      </w:pict>
    </w:r>
    <w:r>
      <w:pict>
        <v:shape id="_x0000_s2049" type="#_x0000_t202" style="position:absolute;margin-left:566.4pt;margin-top:743.25pt;width:12.7pt;height:15.45pt;z-index:-252051456;mso-position-horizontal-relative:page;mso-position-vertical-relative:page" filled="f" stroked="f">
          <v:textbox inset="0,0,0,0">
            <w:txbxContent>
              <w:p w:rsidR="009567F3" w:rsidRDefault="007E6E9F">
                <w:pPr>
                  <w:spacing w:before="12"/>
                  <w:ind w:left="60"/>
                  <w:rPr>
                    <w:rFonts w:ascii="Arial"/>
                    <w:sz w:val="24"/>
                  </w:rPr>
                </w:pPr>
                <w:r>
                  <w:fldChar w:fldCharType="begin"/>
                </w:r>
                <w:r>
                  <w:rPr>
                    <w:rFonts w:ascii="Arial"/>
                    <w:w w:val="99"/>
                    <w:sz w:val="24"/>
                  </w:rP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F1D" w:rsidRDefault="007E6E9F">
      <w:r>
        <w:separator/>
      </w:r>
    </w:p>
  </w:footnote>
  <w:footnote w:type="continuationSeparator" w:id="0">
    <w:p w:rsidR="00BA5F1D" w:rsidRDefault="007E6E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1505" w:rsidRPr="00835D47" w:rsidRDefault="00835D47">
    <w:pPr>
      <w:pStyle w:val="Header"/>
      <w:rPr>
        <w:b/>
      </w:rPr>
    </w:pPr>
    <w:r w:rsidRPr="003F49C8">
      <w:rPr>
        <w:rFonts w:ascii="Times New Roman" w:hAnsi="Times New Roman" w:cs="Times New Roman"/>
        <w:noProof/>
      </w:rPr>
      <w:drawing>
        <wp:anchor distT="0" distB="0" distL="114300" distR="114300" simplePos="0" relativeHeight="251659264" behindDoc="0" locked="0" layoutInCell="1" allowOverlap="1" wp14:anchorId="70229602" wp14:editId="79E1C229">
          <wp:simplePos x="0" y="0"/>
          <wp:positionH relativeFrom="margin">
            <wp:posOffset>314325</wp:posOffset>
          </wp:positionH>
          <wp:positionV relativeFrom="paragraph">
            <wp:posOffset>-266700</wp:posOffset>
          </wp:positionV>
          <wp:extent cx="2215874" cy="301069"/>
          <wp:effectExtent l="0" t="0" r="0" b="3810"/>
          <wp:wrapNone/>
          <wp:docPr id="2" name="image2.jpg" descr="C:\Users\carlsoh\Downloads\EOU_LOGO_HZ_FC (1).jpg"/>
          <wp:cNvGraphicFramePr/>
          <a:graphic xmlns:a="http://schemas.openxmlformats.org/drawingml/2006/main">
            <a:graphicData uri="http://schemas.openxmlformats.org/drawingml/2006/picture">
              <pic:pic xmlns:pic="http://schemas.openxmlformats.org/drawingml/2006/picture">
                <pic:nvPicPr>
                  <pic:cNvPr id="0" name="image2.jpg" descr="C:\Users\carlsoh\Downloads\EOU_LOGO_HZ_FC (1).jp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215874" cy="301069"/>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7F3" w:rsidRDefault="00E93048">
    <w:pPr>
      <w:pStyle w:val="BodyText"/>
      <w:spacing w:line="14" w:lineRule="auto"/>
      <w:rPr>
        <w:sz w:val="20"/>
      </w:rPr>
    </w:pPr>
    <w:r>
      <w:pict>
        <v:line id="_x0000_s2051" style="position:absolute;z-index:-252053504;mso-position-horizontal-relative:page;mso-position-vertical-relative:page" from="176.25pt,67.6pt" to="571.5pt,67.6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11B0"/>
    <w:multiLevelType w:val="hybridMultilevel"/>
    <w:tmpl w:val="A532097E"/>
    <w:lvl w:ilvl="0" w:tplc="670816E2">
      <w:numFmt w:val="bullet"/>
      <w:lvlText w:val=""/>
      <w:lvlJc w:val="left"/>
      <w:pPr>
        <w:ind w:left="1260" w:hanging="361"/>
      </w:pPr>
      <w:rPr>
        <w:rFonts w:ascii="Symbol" w:eastAsia="Symbol" w:hAnsi="Symbol" w:cs="Symbol" w:hint="default"/>
        <w:w w:val="100"/>
        <w:sz w:val="18"/>
        <w:szCs w:val="18"/>
        <w:lang w:val="en-US" w:eastAsia="en-US" w:bidi="en-US"/>
      </w:rPr>
    </w:lvl>
    <w:lvl w:ilvl="1" w:tplc="50B0E45A">
      <w:numFmt w:val="bullet"/>
      <w:lvlText w:val="•"/>
      <w:lvlJc w:val="left"/>
      <w:pPr>
        <w:ind w:left="2316" w:hanging="361"/>
      </w:pPr>
      <w:rPr>
        <w:rFonts w:hint="default"/>
        <w:lang w:val="en-US" w:eastAsia="en-US" w:bidi="en-US"/>
      </w:rPr>
    </w:lvl>
    <w:lvl w:ilvl="2" w:tplc="CFB613A2">
      <w:numFmt w:val="bullet"/>
      <w:lvlText w:val="•"/>
      <w:lvlJc w:val="left"/>
      <w:pPr>
        <w:ind w:left="3372" w:hanging="361"/>
      </w:pPr>
      <w:rPr>
        <w:rFonts w:hint="default"/>
        <w:lang w:val="en-US" w:eastAsia="en-US" w:bidi="en-US"/>
      </w:rPr>
    </w:lvl>
    <w:lvl w:ilvl="3" w:tplc="950C601C">
      <w:numFmt w:val="bullet"/>
      <w:lvlText w:val="•"/>
      <w:lvlJc w:val="left"/>
      <w:pPr>
        <w:ind w:left="4428" w:hanging="361"/>
      </w:pPr>
      <w:rPr>
        <w:rFonts w:hint="default"/>
        <w:lang w:val="en-US" w:eastAsia="en-US" w:bidi="en-US"/>
      </w:rPr>
    </w:lvl>
    <w:lvl w:ilvl="4" w:tplc="A5C8618E">
      <w:numFmt w:val="bullet"/>
      <w:lvlText w:val="•"/>
      <w:lvlJc w:val="left"/>
      <w:pPr>
        <w:ind w:left="5484" w:hanging="361"/>
      </w:pPr>
      <w:rPr>
        <w:rFonts w:hint="default"/>
        <w:lang w:val="en-US" w:eastAsia="en-US" w:bidi="en-US"/>
      </w:rPr>
    </w:lvl>
    <w:lvl w:ilvl="5" w:tplc="E66423F0">
      <w:numFmt w:val="bullet"/>
      <w:lvlText w:val="•"/>
      <w:lvlJc w:val="left"/>
      <w:pPr>
        <w:ind w:left="6540" w:hanging="361"/>
      </w:pPr>
      <w:rPr>
        <w:rFonts w:hint="default"/>
        <w:lang w:val="en-US" w:eastAsia="en-US" w:bidi="en-US"/>
      </w:rPr>
    </w:lvl>
    <w:lvl w:ilvl="6" w:tplc="203E6E44">
      <w:numFmt w:val="bullet"/>
      <w:lvlText w:val="•"/>
      <w:lvlJc w:val="left"/>
      <w:pPr>
        <w:ind w:left="7596" w:hanging="361"/>
      </w:pPr>
      <w:rPr>
        <w:rFonts w:hint="default"/>
        <w:lang w:val="en-US" w:eastAsia="en-US" w:bidi="en-US"/>
      </w:rPr>
    </w:lvl>
    <w:lvl w:ilvl="7" w:tplc="9C561B0C">
      <w:numFmt w:val="bullet"/>
      <w:lvlText w:val="•"/>
      <w:lvlJc w:val="left"/>
      <w:pPr>
        <w:ind w:left="8652" w:hanging="361"/>
      </w:pPr>
      <w:rPr>
        <w:rFonts w:hint="default"/>
        <w:lang w:val="en-US" w:eastAsia="en-US" w:bidi="en-US"/>
      </w:rPr>
    </w:lvl>
    <w:lvl w:ilvl="8" w:tplc="15D02B72">
      <w:numFmt w:val="bullet"/>
      <w:lvlText w:val="•"/>
      <w:lvlJc w:val="left"/>
      <w:pPr>
        <w:ind w:left="9708" w:hanging="361"/>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567F3"/>
    <w:rsid w:val="00045D06"/>
    <w:rsid w:val="000D2E83"/>
    <w:rsid w:val="002A3AB6"/>
    <w:rsid w:val="003F1505"/>
    <w:rsid w:val="004573D2"/>
    <w:rsid w:val="005902E4"/>
    <w:rsid w:val="006F3C56"/>
    <w:rsid w:val="007E6E9F"/>
    <w:rsid w:val="00835D47"/>
    <w:rsid w:val="009567F3"/>
    <w:rsid w:val="00A817EA"/>
    <w:rsid w:val="00BA5F1D"/>
    <w:rsid w:val="00E173A1"/>
    <w:rsid w:val="00E93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rules v:ext="edit">
        <o:r id="V:Rule9" type="connector" idref="#_x0000_s1034"/>
        <o:r id="V:Rule10" type="connector" idref="#_x0000_s1033"/>
        <o:r id="V:Rule11" type="connector" idref="#_x0000_s1038"/>
        <o:r id="V:Rule12" type="connector" idref="#_x0000_s1037"/>
        <o:r id="V:Rule13" type="connector" idref="#_x0000_s1039"/>
        <o:r id="V:Rule14" type="connector" idref="#_x0000_s1032"/>
        <o:r id="V:Rule15" type="connector" idref="#_x0000_s1036"/>
        <o:r id="V:Rule16" type="connector" idref="#_x0000_s1040"/>
      </o:rules>
    </o:shapelayout>
  </w:shapeDefaults>
  <w:decimalSymbol w:val="."/>
  <w:listSeparator w:val=","/>
  <w14:docId w14:val="7823E3A9"/>
  <w15:docId w15:val="{931AA656-F207-495F-A30D-81A54BC1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540"/>
      <w:outlineLvl w:val="0"/>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260" w:hanging="361"/>
    </w:pPr>
  </w:style>
  <w:style w:type="paragraph" w:customStyle="1" w:styleId="TableParagraph">
    <w:name w:val="Table Paragraph"/>
    <w:basedOn w:val="Normal"/>
    <w:uiPriority w:val="1"/>
    <w:qFormat/>
    <w:pPr>
      <w:spacing w:line="199" w:lineRule="exact"/>
      <w:ind w:left="107"/>
    </w:pPr>
  </w:style>
  <w:style w:type="paragraph" w:styleId="Header">
    <w:name w:val="header"/>
    <w:basedOn w:val="Normal"/>
    <w:link w:val="HeaderChar"/>
    <w:uiPriority w:val="99"/>
    <w:unhideWhenUsed/>
    <w:rsid w:val="003F1505"/>
    <w:pPr>
      <w:tabs>
        <w:tab w:val="center" w:pos="4680"/>
        <w:tab w:val="right" w:pos="9360"/>
      </w:tabs>
    </w:pPr>
  </w:style>
  <w:style w:type="character" w:customStyle="1" w:styleId="HeaderChar">
    <w:name w:val="Header Char"/>
    <w:basedOn w:val="DefaultParagraphFont"/>
    <w:link w:val="Header"/>
    <w:uiPriority w:val="99"/>
    <w:rsid w:val="003F1505"/>
    <w:rPr>
      <w:rFonts w:ascii="Calibri" w:eastAsia="Calibri" w:hAnsi="Calibri" w:cs="Calibri"/>
      <w:lang w:bidi="en-US"/>
    </w:rPr>
  </w:style>
  <w:style w:type="paragraph" w:styleId="Footer">
    <w:name w:val="footer"/>
    <w:basedOn w:val="Normal"/>
    <w:link w:val="FooterChar"/>
    <w:uiPriority w:val="99"/>
    <w:unhideWhenUsed/>
    <w:rsid w:val="003F1505"/>
    <w:pPr>
      <w:tabs>
        <w:tab w:val="center" w:pos="4680"/>
        <w:tab w:val="right" w:pos="9360"/>
      </w:tabs>
    </w:pPr>
  </w:style>
  <w:style w:type="character" w:customStyle="1" w:styleId="FooterChar">
    <w:name w:val="Footer Char"/>
    <w:basedOn w:val="DefaultParagraphFont"/>
    <w:link w:val="Footer"/>
    <w:uiPriority w:val="99"/>
    <w:rsid w:val="003F1505"/>
    <w:rPr>
      <w:rFonts w:ascii="Calibri" w:eastAsia="Calibri" w:hAnsi="Calibri" w:cs="Calibri"/>
      <w:lang w:bidi="en-US"/>
    </w:rPr>
  </w:style>
  <w:style w:type="character" w:styleId="Hyperlink">
    <w:name w:val="Hyperlink"/>
    <w:basedOn w:val="DefaultParagraphFont"/>
    <w:uiPriority w:val="99"/>
    <w:unhideWhenUsed/>
    <w:rsid w:val="007E6E9F"/>
    <w:rPr>
      <w:color w:val="0000FF" w:themeColor="hyperlink"/>
      <w:u w:val="single"/>
    </w:rPr>
  </w:style>
  <w:style w:type="character" w:styleId="UnresolvedMention">
    <w:name w:val="Unresolved Mention"/>
    <w:basedOn w:val="DefaultParagraphFont"/>
    <w:uiPriority w:val="99"/>
    <w:semiHidden/>
    <w:unhideWhenUsed/>
    <w:rsid w:val="007E6E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sa.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ou.edu/hr/retir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chastain</dc:creator>
  <cp:lastModifiedBy>Jacque Naegle</cp:lastModifiedBy>
  <cp:revision>12</cp:revision>
  <dcterms:created xsi:type="dcterms:W3CDTF">2023-01-23T23:18:00Z</dcterms:created>
  <dcterms:modified xsi:type="dcterms:W3CDTF">2023-01-25T00:24:00Z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2019-12-11T00:00:00Z</vt:filetime>
  </property>
  <property fmtid="{D5CDD505-2E9C-101B-9397-08002B2CF9AE}" pid="3" name="Creator">
    <vt:lpwstr>Microsoft® Word 2016</vt:lpwstr>
  </property>
  <property fmtid="{D5CDD505-2E9C-101B-9397-08002B2CF9AE}" pid="4" name="LastSaved">
    <vt:filetime>2023-01-23T00:00:00Z</vt:filetime>
  </property>
  <property fmtid="{D5CDD505-2E9C-101B-9397-08002B2CF9AE}" pid="5" name="GrammarlyDocumentId">
    <vt:lpwstr>8103878700ef0edce693d9532262e4460ea189fa36b6f5e7c6a521b65c79af8a</vt:lpwstr>
  </property>
</Properties>
</file>